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Pr="00C2398D" w:rsidRDefault="00A679C2" w:rsidP="00A679C2">
      <w:pPr>
        <w:jc w:val="center"/>
        <w:rPr>
          <w:b/>
          <w:color w:val="000000"/>
        </w:rPr>
      </w:pPr>
      <w:bookmarkStart w:id="0" w:name="_GoBack"/>
      <w:bookmarkEnd w:id="0"/>
      <w:r w:rsidRPr="00C2398D">
        <w:rPr>
          <w:b/>
          <w:color w:val="000000"/>
        </w:rPr>
        <w:t>ТЕХНИЧЕСКОЕ ЗАДАНИЕ</w:t>
      </w:r>
    </w:p>
    <w:p w:rsidR="00A679C2" w:rsidRPr="00C2398D" w:rsidRDefault="00A679C2" w:rsidP="00A679C2">
      <w:pPr>
        <w:jc w:val="center"/>
        <w:rPr>
          <w:b/>
          <w:color w:val="000000"/>
        </w:rPr>
      </w:pPr>
    </w:p>
    <w:p w:rsidR="003C5AA9" w:rsidRPr="00C2398D" w:rsidRDefault="003C5AA9" w:rsidP="003C5AA9">
      <w:pPr>
        <w:jc w:val="center"/>
        <w:rPr>
          <w:b/>
        </w:rPr>
      </w:pPr>
      <w:r w:rsidRPr="00C2398D">
        <w:rPr>
          <w:b/>
        </w:rPr>
        <w:t xml:space="preserve">Программа обучения </w:t>
      </w:r>
    </w:p>
    <w:p w:rsidR="003C5AA9" w:rsidRDefault="003C5AA9" w:rsidP="003C5AA9"/>
    <w:p w:rsidR="003C5AA9" w:rsidRPr="00927596" w:rsidRDefault="003C5AA9" w:rsidP="003C5AA9">
      <w:pPr>
        <w:tabs>
          <w:tab w:val="left" w:pos="142"/>
        </w:tabs>
        <w:ind w:firstLine="567"/>
        <w:jc w:val="both"/>
      </w:pPr>
      <w:r w:rsidRPr="00927596">
        <w:rPr>
          <w:b/>
        </w:rPr>
        <w:t xml:space="preserve">По </w:t>
      </w:r>
      <w:r>
        <w:rPr>
          <w:b/>
        </w:rPr>
        <w:t xml:space="preserve">специальности: </w:t>
      </w:r>
      <w:r w:rsidRPr="00927596">
        <w:t xml:space="preserve">Промышленная безопасность на опасных производственных    объектах, осуществляющих геологоразведку, добычу и переработку урана.             </w:t>
      </w:r>
    </w:p>
    <w:p w:rsidR="003C5AA9" w:rsidRPr="00927596" w:rsidRDefault="003C5AA9" w:rsidP="003C5AA9">
      <w:pPr>
        <w:tabs>
          <w:tab w:val="left" w:pos="142"/>
        </w:tabs>
        <w:ind w:firstLine="567"/>
        <w:jc w:val="both"/>
      </w:pPr>
      <w:r w:rsidRPr="00927596">
        <w:rPr>
          <w:b/>
        </w:rPr>
        <w:t xml:space="preserve">Цель: </w:t>
      </w:r>
      <w:r w:rsidRPr="00927596">
        <w:t xml:space="preserve">Обучение технических руководителей, специалистов и инженерно-технических работников предприятия по вопросам промышленной безопасности. </w:t>
      </w:r>
    </w:p>
    <w:p w:rsidR="003C5AA9" w:rsidRPr="00927596" w:rsidRDefault="003C5AA9" w:rsidP="003C5AA9">
      <w:pPr>
        <w:tabs>
          <w:tab w:val="left" w:pos="142"/>
        </w:tabs>
        <w:ind w:firstLine="567"/>
        <w:jc w:val="both"/>
      </w:pPr>
      <w:r w:rsidRPr="00927596">
        <w:rPr>
          <w:b/>
        </w:rPr>
        <w:t xml:space="preserve">Категория слушателей: </w:t>
      </w:r>
      <w:r w:rsidRPr="00927596">
        <w:t>технические руководители, специалисты и инженерно-технические работники подразделений всех уровней.</w:t>
      </w:r>
    </w:p>
    <w:p w:rsidR="003C5AA9" w:rsidRPr="00927596" w:rsidRDefault="003C5AA9" w:rsidP="003C5AA9">
      <w:pPr>
        <w:tabs>
          <w:tab w:val="left" w:pos="142"/>
        </w:tabs>
        <w:ind w:firstLine="567"/>
        <w:jc w:val="both"/>
      </w:pPr>
      <w:r w:rsidRPr="00927596">
        <w:rPr>
          <w:b/>
        </w:rPr>
        <w:t xml:space="preserve">Срок подготовки: </w:t>
      </w:r>
      <w:r w:rsidR="00E1606A">
        <w:rPr>
          <w:b/>
        </w:rPr>
        <w:t>10/</w:t>
      </w:r>
      <w:r w:rsidRPr="00927596">
        <w:rPr>
          <w:b/>
        </w:rPr>
        <w:t>40</w:t>
      </w:r>
      <w:r w:rsidRPr="00927596">
        <w:t xml:space="preserve"> часов</w:t>
      </w:r>
    </w:p>
    <w:p w:rsidR="003C5AA9" w:rsidRPr="00927596" w:rsidRDefault="003C5AA9" w:rsidP="003C5AA9">
      <w:pPr>
        <w:tabs>
          <w:tab w:val="left" w:pos="142"/>
        </w:tabs>
        <w:ind w:firstLine="567"/>
        <w:jc w:val="both"/>
      </w:pPr>
      <w:r w:rsidRPr="00927596">
        <w:rPr>
          <w:b/>
        </w:rPr>
        <w:t xml:space="preserve">Форма обучения: </w:t>
      </w:r>
      <w:r>
        <w:t>Дистанционное</w:t>
      </w:r>
      <w:r w:rsidRPr="00927596">
        <w:t xml:space="preserve"> обучение с использованием мультимедийных средств </w:t>
      </w:r>
    </w:p>
    <w:p w:rsidR="003C5AA9" w:rsidRPr="00927596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 w:rsidRPr="00927596">
        <w:t xml:space="preserve">Учебный план </w:t>
      </w:r>
      <w:r>
        <w:t xml:space="preserve">для электронного курса </w:t>
      </w:r>
      <w:r w:rsidRPr="00927596">
        <w:t>разработан в соответствии со статьей 79 Закона РК</w:t>
      </w:r>
      <w:r>
        <w:t xml:space="preserve"> от 11 апреля 2014 года №188-V </w:t>
      </w:r>
      <w:r w:rsidRPr="00927596">
        <w:t>«О гражданской защите».</w:t>
      </w:r>
    </w:p>
    <w:p w:rsidR="003C5AA9" w:rsidRPr="00927596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 w:rsidRPr="00927596">
        <w:t xml:space="preserve">Разделы плана предусматривают обучение требованиям нормативных правовых актов и нормативно-технических документов в области промышленной безопасности по конкретным направлениям деятельности. </w:t>
      </w:r>
    </w:p>
    <w:p w:rsidR="003C5AA9" w:rsidRPr="00927596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 w:rsidRPr="00927596">
        <w:t>Учебным планом учтены последние изменения в законодательной и нормативно-технической базе Республики Казахстан в области промышленной безопасности.</w:t>
      </w:r>
    </w:p>
    <w:p w:rsidR="003C5AA9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 w:rsidRPr="00927596">
        <w:t>Объем теоретических и технических знаний, предусмотренных в программе, отвечает требованиям нормативных и иных документов, применяемым в РК.</w:t>
      </w:r>
    </w:p>
    <w:p w:rsidR="003C5AA9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>
        <w:t>Содержание курса максимально адаптировано под специфику отрасли АО «НАК «</w:t>
      </w:r>
      <w:proofErr w:type="spellStart"/>
      <w:r>
        <w:t>Казатомпром</w:t>
      </w:r>
      <w:proofErr w:type="spellEnd"/>
      <w:r>
        <w:t>».</w:t>
      </w:r>
    </w:p>
    <w:p w:rsidR="003C5AA9" w:rsidRDefault="003C5AA9" w:rsidP="003C5AA9">
      <w:pPr>
        <w:pStyle w:val="ad"/>
        <w:numPr>
          <w:ilvl w:val="0"/>
          <w:numId w:val="30"/>
        </w:numPr>
        <w:tabs>
          <w:tab w:val="left" w:pos="142"/>
          <w:tab w:val="left" w:pos="851"/>
        </w:tabs>
        <w:ind w:left="0" w:firstLine="567"/>
        <w:contextualSpacing w:val="0"/>
        <w:jc w:val="both"/>
      </w:pPr>
      <w:r>
        <w:t xml:space="preserve">Электронный курс дает возможность прохождения обучения и тестирования в удобное время для слушателя, а также отсутствия необходимости интернета. </w:t>
      </w:r>
    </w:p>
    <w:p w:rsidR="003C5AA9" w:rsidRPr="00927596" w:rsidRDefault="003C5AA9" w:rsidP="003C5AA9">
      <w:pPr>
        <w:pStyle w:val="ad"/>
        <w:tabs>
          <w:tab w:val="left" w:pos="142"/>
          <w:tab w:val="left" w:pos="851"/>
        </w:tabs>
        <w:ind w:left="567"/>
        <w:contextualSpacing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7121"/>
        <w:gridCol w:w="1664"/>
      </w:tblGrid>
      <w:tr w:rsidR="003C5AA9" w:rsidRPr="00927596" w:rsidTr="00763337">
        <w:trPr>
          <w:trHeight w:val="408"/>
        </w:trPr>
        <w:tc>
          <w:tcPr>
            <w:tcW w:w="560" w:type="dxa"/>
            <w:vMerge w:val="restart"/>
          </w:tcPr>
          <w:p w:rsidR="003C5AA9" w:rsidRPr="007672C8" w:rsidRDefault="003C5AA9" w:rsidP="00763337">
            <w:pPr>
              <w:rPr>
                <w:b/>
              </w:rPr>
            </w:pPr>
            <w:r w:rsidRPr="007672C8">
              <w:rPr>
                <w:b/>
              </w:rPr>
              <w:t>№</w:t>
            </w:r>
          </w:p>
          <w:p w:rsidR="003C5AA9" w:rsidRPr="007672C8" w:rsidRDefault="003C5AA9" w:rsidP="00763337">
            <w:pPr>
              <w:rPr>
                <w:b/>
              </w:rPr>
            </w:pPr>
            <w:r w:rsidRPr="007672C8">
              <w:rPr>
                <w:b/>
              </w:rPr>
              <w:t>п/п</w:t>
            </w:r>
          </w:p>
        </w:tc>
        <w:tc>
          <w:tcPr>
            <w:tcW w:w="7121" w:type="dxa"/>
            <w:vMerge w:val="restart"/>
            <w:vAlign w:val="center"/>
          </w:tcPr>
          <w:p w:rsidR="003C5AA9" w:rsidRPr="007672C8" w:rsidRDefault="003C5AA9" w:rsidP="00763337">
            <w:pPr>
              <w:jc w:val="center"/>
              <w:rPr>
                <w:b/>
              </w:rPr>
            </w:pPr>
            <w:r w:rsidRPr="007672C8">
              <w:rPr>
                <w:b/>
              </w:rPr>
              <w:t>Наименование темы</w:t>
            </w:r>
          </w:p>
        </w:tc>
        <w:tc>
          <w:tcPr>
            <w:tcW w:w="1664" w:type="dxa"/>
            <w:vMerge w:val="restart"/>
            <w:vAlign w:val="center"/>
          </w:tcPr>
          <w:p w:rsidR="003C5AA9" w:rsidRPr="007672C8" w:rsidRDefault="003C5AA9" w:rsidP="00763337">
            <w:pPr>
              <w:jc w:val="center"/>
              <w:rPr>
                <w:b/>
              </w:rPr>
            </w:pPr>
            <w:r w:rsidRPr="007672C8">
              <w:rPr>
                <w:b/>
              </w:rPr>
              <w:t>Кол-во</w:t>
            </w:r>
          </w:p>
          <w:p w:rsidR="003C5AA9" w:rsidRPr="007672C8" w:rsidRDefault="003C5AA9" w:rsidP="00763337">
            <w:pPr>
              <w:jc w:val="center"/>
              <w:rPr>
                <w:b/>
              </w:rPr>
            </w:pPr>
            <w:r w:rsidRPr="007672C8">
              <w:rPr>
                <w:b/>
              </w:rPr>
              <w:t>часов</w:t>
            </w:r>
          </w:p>
        </w:tc>
      </w:tr>
      <w:tr w:rsidR="003C5AA9" w:rsidRPr="00927596" w:rsidTr="00763337">
        <w:trPr>
          <w:trHeight w:val="420"/>
        </w:trPr>
        <w:tc>
          <w:tcPr>
            <w:tcW w:w="560" w:type="dxa"/>
            <w:vMerge/>
          </w:tcPr>
          <w:p w:rsidR="003C5AA9" w:rsidRPr="00927596" w:rsidRDefault="003C5AA9" w:rsidP="00763337"/>
        </w:tc>
        <w:tc>
          <w:tcPr>
            <w:tcW w:w="7121" w:type="dxa"/>
            <w:vMerge/>
          </w:tcPr>
          <w:p w:rsidR="003C5AA9" w:rsidRPr="00927596" w:rsidRDefault="003C5AA9" w:rsidP="00763337"/>
        </w:tc>
        <w:tc>
          <w:tcPr>
            <w:tcW w:w="1664" w:type="dxa"/>
            <w:vMerge/>
          </w:tcPr>
          <w:p w:rsidR="003C5AA9" w:rsidRPr="00927596" w:rsidRDefault="003C5AA9" w:rsidP="00763337"/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763337">
            <w:pPr>
              <w:jc w:val="center"/>
            </w:pPr>
            <w:r w:rsidRPr="00927596">
              <w:t>1</w:t>
            </w:r>
          </w:p>
        </w:tc>
        <w:tc>
          <w:tcPr>
            <w:tcW w:w="7121" w:type="dxa"/>
          </w:tcPr>
          <w:p w:rsidR="003C5AA9" w:rsidRPr="00927596" w:rsidRDefault="003C5AA9" w:rsidP="00763337">
            <w:pPr>
              <w:jc w:val="center"/>
            </w:pPr>
            <w:r w:rsidRPr="00927596">
              <w:t>2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</w:pPr>
            <w:r w:rsidRPr="00927596">
              <w:t>3</w:t>
            </w:r>
          </w:p>
        </w:tc>
      </w:tr>
      <w:tr w:rsidR="003C5AA9" w:rsidRPr="00927596" w:rsidTr="00763337">
        <w:tc>
          <w:tcPr>
            <w:tcW w:w="9345" w:type="dxa"/>
            <w:gridSpan w:val="3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Общие требования </w:t>
            </w:r>
            <w:r w:rsidRPr="00927596">
              <w:rPr>
                <w:b/>
              </w:rPr>
              <w:t>Закон РК «О гражданской защите»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Система нормативных правовых актов в области промышленной безопасности.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 w:rsidRPr="00927596">
              <w:t>0,5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 xml:space="preserve">Основные положения и структура Закона РК «О гражданской защите». Государственная система гражданской защиты. </w:t>
            </w:r>
            <w:proofErr w:type="gramStart"/>
            <w:r w:rsidRPr="00927596">
              <w:t>Основные понятия</w:t>
            </w:r>
            <w:proofErr w:type="gramEnd"/>
            <w:r w:rsidRPr="00927596">
              <w:t xml:space="preserve"> используемые в области промышленной безопасности.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 w:rsidRPr="00927596">
              <w:t>1</w:t>
            </w:r>
            <w:r>
              <w:t>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Компетенци</w:t>
            </w:r>
            <w:r>
              <w:t>и</w:t>
            </w:r>
            <w:r w:rsidRPr="00927596">
              <w:t xml:space="preserve"> государственных органов в </w:t>
            </w:r>
            <w:r>
              <w:t xml:space="preserve">сфере гражданской защиты. 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Права и обязанности физических и юридических лиц по обеспечению промышленной безопасности.</w:t>
            </w:r>
            <w:r>
              <w:t xml:space="preserve"> Требования к обеспечению промышленной безопасности.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Default="003C5AA9" w:rsidP="00763337">
            <w:r w:rsidRPr="00927596">
              <w:t>Признаки опасных производственных объектов</w:t>
            </w:r>
            <w:r>
              <w:t xml:space="preserve">. </w:t>
            </w:r>
            <w:r w:rsidRPr="00951773">
              <w:t>Правил</w:t>
            </w:r>
            <w:r>
              <w:t>а</w:t>
            </w:r>
            <w:r w:rsidRPr="00951773">
              <w:t xml:space="preserve"> идентификации опасных производственных объектов</w:t>
            </w:r>
            <w:r>
              <w:t xml:space="preserve"> </w:t>
            </w:r>
          </w:p>
          <w:p w:rsidR="003C5AA9" w:rsidRPr="00927596" w:rsidRDefault="003C5AA9" w:rsidP="00763337">
            <w:r>
              <w:t>(</w:t>
            </w:r>
            <w:proofErr w:type="gramStart"/>
            <w:r>
              <w:t>обязательно  теория</w:t>
            </w:r>
            <w:proofErr w:type="gramEnd"/>
            <w:r>
              <w:t xml:space="preserve"> + практика определения признаков).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E33008">
              <w:t>Производственный контроль в области промышленной безопасности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>
              <w:t>Деятельность а</w:t>
            </w:r>
            <w:r w:rsidRPr="00951773">
              <w:t>варийно-спасательных служб и формирований</w:t>
            </w:r>
            <w:r>
              <w:t xml:space="preserve">. </w:t>
            </w:r>
            <w:r w:rsidRPr="00951773">
              <w:t>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и формированиями.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51773" w:rsidRDefault="003C5AA9" w:rsidP="00763337">
            <w:r w:rsidRPr="00223B36">
              <w:t>Аттестация юридических лиц на право проведения работ в области промышленной безопасности</w:t>
            </w:r>
            <w:r>
              <w:t xml:space="preserve">. Стандарт </w:t>
            </w:r>
            <w:r w:rsidRPr="00951773">
              <w:t xml:space="preserve">государственной </w:t>
            </w:r>
            <w:r w:rsidRPr="00951773">
              <w:lastRenderedPageBreak/>
              <w:t xml:space="preserve">услуги </w:t>
            </w:r>
            <w:r>
              <w:t>«</w:t>
            </w:r>
            <w:r w:rsidRPr="00951773">
              <w:t>Аттестация юридических лиц на право проведения работ в области промышленной безопасности</w:t>
            </w:r>
            <w:r>
              <w:t>».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lastRenderedPageBreak/>
              <w:t>0,5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51773">
              <w:t>Экспертиза промышленной безопасности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51773">
              <w:t>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  <w:r>
              <w:t>. С</w:t>
            </w:r>
            <w:r w:rsidRPr="00951773">
              <w:t xml:space="preserve">тандарт государственной услуги </w:t>
            </w:r>
            <w:r>
              <w:t>«</w:t>
            </w:r>
            <w:r w:rsidRPr="00951773">
              <w:t>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  <w:r>
              <w:t>»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5F4475">
              <w:t>Обязательное декларирование промышленной безопасности опасного производственного объекта</w:t>
            </w:r>
            <w:r>
              <w:t xml:space="preserve">. </w:t>
            </w:r>
            <w:r w:rsidRPr="005F4475">
              <w:t>Правила, определяющие критерии отнесения опасных производст</w:t>
            </w:r>
            <w:r>
              <w:t>венных объектов к декларируемым.</w:t>
            </w:r>
            <w:r w:rsidRPr="005F4475">
              <w:t xml:space="preserve"> Правила разработки декларации промышленной безопасности опасного производственного объекта.</w:t>
            </w:r>
            <w:r>
              <w:t xml:space="preserve"> К</w:t>
            </w:r>
            <w:r w:rsidRPr="005F4475">
              <w:t>ритерии отнесения опасных производственных объектов к декларируемым</w:t>
            </w:r>
            <w:r>
              <w:t xml:space="preserve">. </w:t>
            </w:r>
            <w:r w:rsidRPr="00B568BF">
              <w:t xml:space="preserve">стандарт государственной услуги </w:t>
            </w:r>
            <w:r>
              <w:t>«</w:t>
            </w:r>
            <w:r w:rsidRPr="00B568BF">
              <w:t>Регистрация деклараций промышленной безопасности опасного производственного объекта</w:t>
            </w:r>
            <w:r>
              <w:t>».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5F4475">
              <w:t>Постановка на учет и снятие с учета опасных технических устройств</w:t>
            </w:r>
            <w:r>
              <w:t>.</w:t>
            </w:r>
            <w:r w:rsidRPr="00B568BF">
              <w:t xml:space="preserve"> </w:t>
            </w:r>
            <w:r>
              <w:t>С</w:t>
            </w:r>
            <w:r w:rsidRPr="00B568BF">
              <w:t xml:space="preserve">тандарт государственной услуги </w:t>
            </w:r>
            <w:r>
              <w:t>«</w:t>
            </w:r>
            <w:r w:rsidRPr="00B568BF">
              <w:t>Постановка на учет и снятие с учет</w:t>
            </w:r>
            <w:r>
              <w:t>а опасных технических устройств».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5F4475" w:rsidRDefault="003C5AA9" w:rsidP="00763337">
            <w:r w:rsidRPr="00B568BF">
              <w:t>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  <w:r>
              <w:t xml:space="preserve">. </w:t>
            </w:r>
            <w:r w:rsidRPr="00C076A0">
              <w:t>с</w:t>
            </w:r>
            <w:r>
              <w:t>тандарт государственной услуги «</w:t>
            </w:r>
            <w:r w:rsidRPr="00C076A0">
              <w:t>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  <w:r>
              <w:t xml:space="preserve">». </w:t>
            </w:r>
            <w:r w:rsidRPr="00026D2C">
              <w:t>Порядок разработки, согласования, утверждения и состав проектной</w:t>
            </w:r>
            <w:r>
              <w:t xml:space="preserve"> </w:t>
            </w:r>
            <w:r w:rsidRPr="00026D2C">
              <w:t>документации на строительство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5F4475" w:rsidRDefault="003C5AA9" w:rsidP="00763337">
            <w:r w:rsidRPr="00AF429F">
              <w:t>Подготовка, переподготовка специалистов, работников опасных производственных объектов и иных организаций по вопросам промышленной безопасности</w:t>
            </w:r>
            <w:r>
              <w:t>. С</w:t>
            </w:r>
            <w:r w:rsidRPr="00AF429F">
              <w:t xml:space="preserve">тандарт государственной услуги </w:t>
            </w:r>
            <w:r>
              <w:t>«</w:t>
            </w:r>
            <w:r w:rsidRPr="00AF429F">
              <w:t>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</w:t>
            </w:r>
            <w:r>
              <w:t xml:space="preserve">». </w:t>
            </w:r>
            <w:r w:rsidRPr="00026D2C">
              <w:t>Правила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F429F" w:rsidRDefault="003C5AA9" w:rsidP="00763337">
            <w:r w:rsidRPr="00026D2C">
              <w:t>План ликвидации аварий</w:t>
            </w:r>
            <w:r>
              <w:t xml:space="preserve">. </w:t>
            </w:r>
            <w:r w:rsidRPr="00026D2C">
              <w:t>Учебные тревоги и противоаварийные тренировки</w:t>
            </w:r>
            <w:r>
              <w:t xml:space="preserve"> </w:t>
            </w:r>
            <w:r w:rsidRPr="00026D2C">
              <w:t xml:space="preserve">(теория + практика </w:t>
            </w:r>
            <w:r>
              <w:t>составлении ПЛА</w:t>
            </w:r>
            <w:r w:rsidRPr="00026D2C">
              <w:t>).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E33008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026D2C" w:rsidRDefault="003C5AA9" w:rsidP="00763337">
            <w:r>
              <w:t xml:space="preserve">Расследование и учет инцидентов, аварий, несчастных случаев на опасных производственных объектах, с учетом требований Трудового Кодекса РК. Анализ коренных причин несчастных случаев. 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2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C5AA9" w:rsidRPr="00927596" w:rsidTr="00763337">
        <w:tc>
          <w:tcPr>
            <w:tcW w:w="9345" w:type="dxa"/>
            <w:gridSpan w:val="3"/>
          </w:tcPr>
          <w:p w:rsidR="003C5AA9" w:rsidRPr="00026D2C" w:rsidRDefault="003C5AA9" w:rsidP="00763337">
            <w:pPr>
              <w:jc w:val="center"/>
              <w:rPr>
                <w:b/>
              </w:rPr>
            </w:pPr>
            <w:r w:rsidRPr="00026D2C">
              <w:rPr>
                <w:b/>
              </w:rPr>
              <w:t>Порядок проведения проверок в области промышленной безопасности опасных производственных объектов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3771F0" w:rsidRDefault="003C5AA9" w:rsidP="00763337">
            <w:pPr>
              <w:rPr>
                <w:lang w:val="kk-KZ"/>
              </w:rPr>
            </w:pPr>
            <w:r>
              <w:t xml:space="preserve">Основные требования </w:t>
            </w:r>
            <w:r w:rsidRPr="00E33008">
              <w:t>Предпринимательск</w:t>
            </w:r>
            <w:r>
              <w:t>ого</w:t>
            </w:r>
            <w:r w:rsidRPr="00E33008">
              <w:t xml:space="preserve"> кодекс</w:t>
            </w:r>
            <w:r>
              <w:t>а</w:t>
            </w:r>
            <w:r w:rsidRPr="00E33008">
              <w:t xml:space="preserve"> Республики Казахстан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3771F0" w:rsidRDefault="003C5AA9" w:rsidP="00763337">
            <w:pPr>
              <w:rPr>
                <w:lang w:val="kk-KZ"/>
              </w:rPr>
            </w:pPr>
            <w:r w:rsidRPr="00E33008">
              <w:t xml:space="preserve">Совместный приказ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«Об утверждении критериев оценки </w:t>
            </w:r>
            <w:r w:rsidRPr="00E33008">
              <w:lastRenderedPageBreak/>
              <w:t>степени риска и форм проверочных листов в области промышленной безопасности»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lastRenderedPageBreak/>
              <w:t>1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AA9" w:rsidRPr="00927596" w:rsidTr="00763337">
        <w:tc>
          <w:tcPr>
            <w:tcW w:w="9345" w:type="dxa"/>
            <w:gridSpan w:val="3"/>
          </w:tcPr>
          <w:p w:rsidR="003C5AA9" w:rsidRPr="00DD79ED" w:rsidRDefault="003C5AA9" w:rsidP="00763337">
            <w:pPr>
              <w:jc w:val="center"/>
              <w:rPr>
                <w:b/>
              </w:rPr>
            </w:pPr>
            <w:r w:rsidRPr="00DD79ED">
              <w:rPr>
                <w:b/>
              </w:rPr>
              <w:t>Правила обеспечения промышленной безопасности при геологоразведке, добыче и переработке урана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DD79ED" w:rsidRDefault="003C5AA9" w:rsidP="00763337">
            <w:r w:rsidRPr="00DD79ED">
              <w:t>Требования к территории, зданиям, сооружениям и эксплуатации</w:t>
            </w:r>
          </w:p>
          <w:p w:rsidR="003C5AA9" w:rsidRPr="00927596" w:rsidRDefault="003C5AA9" w:rsidP="00763337">
            <w:r>
              <w:t>о</w:t>
            </w:r>
            <w:r w:rsidRPr="00DD79ED">
              <w:t>борудования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Буровые работы:</w:t>
            </w:r>
          </w:p>
          <w:p w:rsidR="003C5AA9" w:rsidRPr="00927596" w:rsidRDefault="003C5AA9" w:rsidP="00763337">
            <w:r w:rsidRPr="00927596">
              <w:t>- общие требования безопасности, устройство буровых установок, монтаж и демонтаж буровых вышек, передвижных и самоходных установок, передвижение буровых установок, эксплуатация бурового оборудования и инструмента</w:t>
            </w:r>
          </w:p>
          <w:p w:rsidR="003C5AA9" w:rsidRPr="00927596" w:rsidRDefault="003C5AA9" w:rsidP="00763337">
            <w:r w:rsidRPr="00927596">
              <w:t>- механическое вращательное бурение</w:t>
            </w:r>
          </w:p>
          <w:p w:rsidR="003C5AA9" w:rsidRPr="00927596" w:rsidRDefault="003C5AA9" w:rsidP="00763337">
            <w:r w:rsidRPr="00927596">
              <w:t>- приготовление промывочных жидкостей</w:t>
            </w:r>
          </w:p>
          <w:p w:rsidR="003C5AA9" w:rsidRPr="00927596" w:rsidRDefault="003C5AA9" w:rsidP="00763337">
            <w:r w:rsidRPr="00927596">
              <w:t>- крепление скважин трубами</w:t>
            </w:r>
          </w:p>
          <w:p w:rsidR="003C5AA9" w:rsidRPr="00927596" w:rsidRDefault="003C5AA9" w:rsidP="00763337">
            <w:r w:rsidRPr="00927596">
              <w:t>- тампонирование и гидроизоляция скважин</w:t>
            </w:r>
          </w:p>
          <w:p w:rsidR="003C5AA9" w:rsidRPr="00927596" w:rsidRDefault="003C5AA9" w:rsidP="00763337">
            <w:r w:rsidRPr="00927596">
              <w:t>- ликвидация аварий</w:t>
            </w:r>
          </w:p>
          <w:p w:rsidR="003C5AA9" w:rsidRPr="00927596" w:rsidRDefault="003C5AA9" w:rsidP="00763337">
            <w:pPr>
              <w:rPr>
                <w:b/>
              </w:rPr>
            </w:pPr>
            <w:r w:rsidRPr="00927596">
              <w:t xml:space="preserve">- ликвидация </w:t>
            </w:r>
            <w:proofErr w:type="spellStart"/>
            <w:r w:rsidRPr="00927596">
              <w:t>сважин</w:t>
            </w:r>
            <w:proofErr w:type="spellEnd"/>
            <w:r w:rsidRPr="00927596">
              <w:t xml:space="preserve"> подземного выщелачивания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DD79ED" w:rsidRDefault="003C5AA9" w:rsidP="00763337">
            <w:pPr>
              <w:jc w:val="center"/>
            </w:pPr>
            <w:r>
              <w:t>2</w:t>
            </w:r>
          </w:p>
        </w:tc>
      </w:tr>
      <w:tr w:rsidR="003C5AA9" w:rsidRPr="00927596" w:rsidTr="00763337">
        <w:tc>
          <w:tcPr>
            <w:tcW w:w="560" w:type="dxa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Геофизические работы:</w:t>
            </w:r>
          </w:p>
          <w:p w:rsidR="003C5AA9" w:rsidRPr="00927596" w:rsidRDefault="003C5AA9" w:rsidP="00763337">
            <w:r w:rsidRPr="00927596">
              <w:t>- общие требования</w:t>
            </w:r>
          </w:p>
          <w:p w:rsidR="003C5AA9" w:rsidRPr="00927596" w:rsidRDefault="003C5AA9" w:rsidP="00763337">
            <w:r w:rsidRPr="00927596">
              <w:t>- геофизические исследования в скважинах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Добычной комплекс подземного скважинного выщелачивания:</w:t>
            </w:r>
          </w:p>
          <w:p w:rsidR="003C5AA9" w:rsidRPr="00927596" w:rsidRDefault="003C5AA9" w:rsidP="00763337">
            <w:r w:rsidRPr="00927596">
              <w:t>- общие требования</w:t>
            </w:r>
          </w:p>
          <w:p w:rsidR="003C5AA9" w:rsidRPr="00927596" w:rsidRDefault="003C5AA9" w:rsidP="00763337">
            <w:r w:rsidRPr="00927596">
              <w:t>- насосные станции</w:t>
            </w:r>
          </w:p>
          <w:p w:rsidR="003C5AA9" w:rsidRPr="00927596" w:rsidRDefault="003C5AA9" w:rsidP="00763337">
            <w:r w:rsidRPr="00927596">
              <w:t>- отстойники технологических растворов</w:t>
            </w:r>
          </w:p>
          <w:p w:rsidR="003C5AA9" w:rsidRPr="00927596" w:rsidRDefault="003C5AA9" w:rsidP="00763337">
            <w:r w:rsidRPr="00927596">
              <w:t>- узлы подкисления</w:t>
            </w:r>
          </w:p>
          <w:p w:rsidR="003C5AA9" w:rsidRPr="00927596" w:rsidRDefault="003C5AA9" w:rsidP="00763337">
            <w:r w:rsidRPr="00927596">
              <w:t>- технологические трубопроводы</w:t>
            </w:r>
          </w:p>
          <w:p w:rsidR="003C5AA9" w:rsidRPr="00927596" w:rsidRDefault="003C5AA9" w:rsidP="00763337">
            <w:r w:rsidRPr="00927596">
              <w:t>- ремонтно-восстановительные работы в технологических скважинах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2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Перерабатывающий комплекс:</w:t>
            </w:r>
          </w:p>
          <w:p w:rsidR="003C5AA9" w:rsidRPr="00927596" w:rsidRDefault="003C5AA9" w:rsidP="00763337">
            <w:r w:rsidRPr="00927596">
              <w:t>- территория, здания и сооружения</w:t>
            </w:r>
          </w:p>
          <w:p w:rsidR="003C5AA9" w:rsidRPr="00927596" w:rsidRDefault="003C5AA9" w:rsidP="00763337">
            <w:r w:rsidRPr="00927596">
              <w:t>- вентиляция и кондиционирование воздуха, отопление, водопровод и канализация, освещение</w:t>
            </w:r>
          </w:p>
          <w:p w:rsidR="003C5AA9" w:rsidRPr="00927596" w:rsidRDefault="003C5AA9" w:rsidP="00763337">
            <w:r w:rsidRPr="00927596">
              <w:t>- требование к оборудованию и его расположению</w:t>
            </w:r>
          </w:p>
          <w:p w:rsidR="003C5AA9" w:rsidRPr="00927596" w:rsidRDefault="003C5AA9" w:rsidP="00763337">
            <w:r w:rsidRPr="00927596">
              <w:t>- ведение технологических процессов</w:t>
            </w:r>
          </w:p>
        </w:tc>
        <w:tc>
          <w:tcPr>
            <w:tcW w:w="1664" w:type="dxa"/>
            <w:vAlign w:val="center"/>
          </w:tcPr>
          <w:p w:rsidR="003C5AA9" w:rsidRPr="00E978CF" w:rsidRDefault="003C5AA9" w:rsidP="00763337">
            <w:pPr>
              <w:jc w:val="center"/>
            </w:pPr>
            <w:r>
              <w:t>2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927596">
              <w:t>Хранение и транспортирование химических реагентов и материалов:</w:t>
            </w:r>
          </w:p>
          <w:p w:rsidR="003C5AA9" w:rsidRPr="00927596" w:rsidRDefault="003C5AA9" w:rsidP="00763337">
            <w:r w:rsidRPr="00927596">
              <w:t>- общие требования</w:t>
            </w:r>
          </w:p>
          <w:p w:rsidR="003C5AA9" w:rsidRPr="00927596" w:rsidRDefault="003C5AA9" w:rsidP="00763337">
            <w:r w:rsidRPr="00927596">
              <w:t>- хранение кислот</w:t>
            </w:r>
          </w:p>
          <w:p w:rsidR="003C5AA9" w:rsidRPr="00927596" w:rsidRDefault="003C5AA9" w:rsidP="00763337">
            <w:r w:rsidRPr="00927596">
              <w:t>- хранение соды каустической (едкий натр)</w:t>
            </w:r>
          </w:p>
          <w:p w:rsidR="003C5AA9" w:rsidRPr="00927596" w:rsidRDefault="003C5AA9" w:rsidP="00763337">
            <w:r w:rsidRPr="00927596">
              <w:t>- хранение аммиачной воды</w:t>
            </w:r>
          </w:p>
          <w:p w:rsidR="003C5AA9" w:rsidRPr="00927596" w:rsidRDefault="003C5AA9" w:rsidP="00763337">
            <w:r w:rsidRPr="00927596">
              <w:t>- хранение аммиачной селитры</w:t>
            </w:r>
          </w:p>
          <w:p w:rsidR="003C5AA9" w:rsidRPr="00927596" w:rsidRDefault="003C5AA9" w:rsidP="00763337">
            <w:r w:rsidRPr="00927596">
              <w:t>- хранение карбонатов и гидрокарбонатов щелочных и щелочноземельных металлов</w:t>
            </w:r>
          </w:p>
          <w:p w:rsidR="003C5AA9" w:rsidRPr="00927596" w:rsidRDefault="003C5AA9" w:rsidP="00763337">
            <w:r w:rsidRPr="00927596">
              <w:t>- хранение сильнодействующих ядовитых веществ</w:t>
            </w:r>
          </w:p>
          <w:p w:rsidR="003C5AA9" w:rsidRPr="00927596" w:rsidRDefault="003C5AA9" w:rsidP="00763337">
            <w:r w:rsidRPr="00927596">
              <w:t>- транспортирование химических реагентов железнодорожным транспортом</w:t>
            </w:r>
          </w:p>
          <w:p w:rsidR="003C5AA9" w:rsidRPr="00927596" w:rsidRDefault="003C5AA9" w:rsidP="00763337">
            <w:r w:rsidRPr="00927596">
              <w:t>- транспортирование химических реагентов автомобильным транспортом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2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27596" w:rsidRDefault="003C5AA9" w:rsidP="00763337">
            <w:r w:rsidRPr="00E978CF">
              <w:t>Лабораторные работы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E978CF" w:rsidRDefault="003C5AA9" w:rsidP="00763337">
            <w:r>
              <w:t>П</w:t>
            </w:r>
            <w:r w:rsidRPr="00E978CF">
              <w:t>орядок ликвидации объектов, связанных с добычей и</w:t>
            </w:r>
          </w:p>
          <w:p w:rsidR="003C5AA9" w:rsidRPr="00927596" w:rsidRDefault="003C5AA9" w:rsidP="00763337">
            <w:r w:rsidRPr="00E978CF">
              <w:t>переработкой урана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7681" w:type="dxa"/>
            <w:gridSpan w:val="2"/>
            <w:vAlign w:val="center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A41ACF" w:rsidRDefault="003C5AA9" w:rsidP="00763337">
            <w:pPr>
              <w:jc w:val="center"/>
              <w:rPr>
                <w:b/>
              </w:rPr>
            </w:pPr>
            <w:r w:rsidRPr="00A41ACF">
              <w:rPr>
                <w:b/>
              </w:rPr>
              <w:t>Правила обеспечения промышленной безопасности при</w:t>
            </w:r>
          </w:p>
          <w:p w:rsidR="003C5AA9" w:rsidRPr="00927596" w:rsidRDefault="003C5AA9" w:rsidP="00763337">
            <w:pPr>
              <w:jc w:val="center"/>
            </w:pPr>
            <w:r w:rsidRPr="00A41ACF">
              <w:rPr>
                <w:b/>
              </w:rPr>
              <w:t>эксплуатации грузоподъемных механизмов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Порядок постановки на учет (регистрации) грузоподъемных механизмов</w:t>
            </w:r>
            <w:r>
              <w:rPr>
                <w:color w:val="1E1E1E"/>
              </w:rPr>
              <w:t>.</w:t>
            </w:r>
            <w:r w:rsidRPr="00A30A4E">
              <w:rPr>
                <w:color w:val="1E1E1E"/>
              </w:rPr>
              <w:t xml:space="preserve"> Порядок оформления разрешения на пуск в работу грузоподъемного крана</w:t>
            </w:r>
            <w:r>
              <w:rPr>
                <w:color w:val="1E1E1E"/>
              </w:rPr>
              <w:t xml:space="preserve">. </w:t>
            </w:r>
            <w:r w:rsidRPr="005B130A">
              <w:rPr>
                <w:color w:val="1E1E1E"/>
              </w:rPr>
              <w:t>Порядок пуска в работу крана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b/>
              </w:rPr>
            </w:pPr>
            <w:r w:rsidRPr="00A30A4E">
              <w:rPr>
                <w:color w:val="1E1E1E"/>
              </w:rPr>
              <w:t>Порядок монтажа, ремонта, реконструкции, грузоподъемных механизмов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 w:rsidRPr="00A30A4E"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Порядок проведения технических освидетельствований</w:t>
            </w:r>
          </w:p>
        </w:tc>
        <w:tc>
          <w:tcPr>
            <w:tcW w:w="1664" w:type="dxa"/>
          </w:tcPr>
          <w:p w:rsidR="003C5AA9" w:rsidRPr="00A30A4E" w:rsidRDefault="003C5AA9" w:rsidP="00763337">
            <w:pPr>
              <w:jc w:val="center"/>
            </w:pPr>
            <w:r w:rsidRPr="00A30A4E"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Порядок создания системы производственного контроля и надзора, технического обслуживания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 w:rsidRPr="00A30A4E"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A0411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A0411">
              <w:rPr>
                <w:color w:val="1E1E1E"/>
              </w:rPr>
              <w:t>Порядок производства работ по перемещению грузов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A0411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A0411">
              <w:rPr>
                <w:color w:val="1E1E1E"/>
              </w:rPr>
              <w:t>Подъемники и лебедки для подъема людей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A0411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A0411">
              <w:rPr>
                <w:color w:val="1E1E1E"/>
              </w:rPr>
              <w:t>Порядок эксплуатации подъемников (вышек)</w:t>
            </w:r>
          </w:p>
        </w:tc>
        <w:tc>
          <w:tcPr>
            <w:tcW w:w="1664" w:type="dxa"/>
            <w:vAlign w:val="center"/>
          </w:tcPr>
          <w:p w:rsidR="003C5AA9" w:rsidRPr="00A30A4E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Устройство грузоподъемных кранов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Грузозахватные органы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Грузозахватные приспособления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Канаты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Цепи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Барабаны, блоки и звездочки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Тормоза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Ходовые колеса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Опорные детали, упоры и буфера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Приборы и устройства безопасности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Механизмы и аппараты управления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Кабины и пульты управления</w:t>
            </w:r>
          </w:p>
          <w:p w:rsidR="003C5AA9" w:rsidRPr="00A30A4E" w:rsidRDefault="003C5AA9" w:rsidP="003C5AA9">
            <w:pPr>
              <w:pStyle w:val="ad"/>
              <w:numPr>
                <w:ilvl w:val="0"/>
                <w:numId w:val="32"/>
              </w:num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i/>
                <w:color w:val="1E1E1E"/>
              </w:rPr>
              <w:t>Ограждения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A30A4E" w:rsidRDefault="003C5AA9" w:rsidP="00763337">
            <w:pPr>
              <w:jc w:val="center"/>
              <w:rPr>
                <w:b/>
              </w:rPr>
            </w:pPr>
            <w:r w:rsidRPr="00A30A4E">
              <w:rPr>
                <w:b/>
              </w:rPr>
              <w:t>Правила обеспечения промышленной безопасности при эксплуатации оборудования, работающего под давлением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Установка. Постановка на учет (регистрация). Техническое</w:t>
            </w:r>
          </w:p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i/>
                <w:color w:val="1E1E1E"/>
              </w:rPr>
            </w:pPr>
            <w:r w:rsidRPr="00A30A4E">
              <w:rPr>
                <w:color w:val="1E1E1E"/>
              </w:rPr>
              <w:t>освидетельствование. Разрешение на эксплуатацию</w:t>
            </w:r>
            <w:r>
              <w:rPr>
                <w:color w:val="1E1E1E"/>
              </w:rPr>
              <w:t xml:space="preserve"> сосудов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Арматура, контрольно-измерительные приборы,</w:t>
            </w:r>
          </w:p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A30A4E">
              <w:rPr>
                <w:color w:val="1E1E1E"/>
              </w:rPr>
              <w:t>предохранительные устройства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F776A2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F776A2">
              <w:rPr>
                <w:color w:val="1E1E1E"/>
              </w:rPr>
              <w:t>Содержание и обслуживание сосудов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</w:pPr>
            <w:r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F776A2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F776A2">
              <w:rPr>
                <w:color w:val="1E1E1E"/>
              </w:rPr>
              <w:t>Общие требования к котлам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F776A2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F776A2">
              <w:rPr>
                <w:color w:val="1E1E1E"/>
              </w:rPr>
              <w:t>Общие требования к трубопроводам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 w:rsidRPr="003D26F9">
              <w:rPr>
                <w:b/>
              </w:rPr>
              <w:t>Правила обеспечения промышленной безопасности при эксплуатации компрессорных станций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3D26F9">
              <w:rPr>
                <w:color w:val="1E1E1E"/>
              </w:rPr>
              <w:t>Требования безопасности к компрессорным установкам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3D26F9">
              <w:rPr>
                <w:color w:val="1E1E1E"/>
              </w:rPr>
              <w:t>Требования к зданию компрессорной станции</w:t>
            </w:r>
            <w:r>
              <w:rPr>
                <w:color w:val="1E1E1E"/>
              </w:rPr>
              <w:t>.</w:t>
            </w:r>
            <w:r w:rsidRPr="003D26F9">
              <w:rPr>
                <w:color w:val="1E1E1E"/>
              </w:rPr>
              <w:t xml:space="preserve"> Требования к размещению и установке компрессоров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pPr>
              <w:shd w:val="clear" w:color="auto" w:fill="FFFFFF"/>
              <w:textAlignment w:val="baseline"/>
              <w:outlineLvl w:val="2"/>
              <w:rPr>
                <w:color w:val="1E1E1E"/>
              </w:rPr>
            </w:pPr>
            <w:r w:rsidRPr="003D26F9">
              <w:rPr>
                <w:color w:val="1E1E1E"/>
              </w:rPr>
              <w:t>Предохранительные устройства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A30A4E" w:rsidRDefault="003C5AA9" w:rsidP="00763337">
            <w:r w:rsidRPr="003D26F9">
              <w:t>Организация эксплуатации технического обслуживания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7672C8" w:rsidRDefault="003C5AA9" w:rsidP="00763337">
            <w:pPr>
              <w:jc w:val="center"/>
              <w:rPr>
                <w:b/>
              </w:rPr>
            </w:pPr>
            <w:r w:rsidRPr="007672C8">
              <w:rPr>
                <w:b/>
              </w:rPr>
              <w:t>Правила обеспечения промышленной безопасности для опасных производственных объектов химической отрасли промышленности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7672C8" w:rsidRDefault="003C5AA9" w:rsidP="00763337">
            <w:r w:rsidRPr="007672C8">
              <w:t>Обеспечение промышленной безопасности</w:t>
            </w:r>
          </w:p>
          <w:p w:rsidR="003C5AA9" w:rsidRPr="00927596" w:rsidRDefault="003C5AA9" w:rsidP="00763337">
            <w:pPr>
              <w:rPr>
                <w:b/>
              </w:rPr>
            </w:pPr>
            <w:r w:rsidRPr="007672C8">
              <w:t>технологических процессов</w:t>
            </w:r>
            <w:r>
              <w:t>.</w:t>
            </w:r>
            <w:r w:rsidRPr="007672C8">
              <w:t xml:space="preserve"> Автоматизация, блокировка, сигнализация, управление</w:t>
            </w:r>
            <w:r>
              <w:t>.</w:t>
            </w:r>
          </w:p>
        </w:tc>
        <w:tc>
          <w:tcPr>
            <w:tcW w:w="1664" w:type="dxa"/>
            <w:vAlign w:val="center"/>
          </w:tcPr>
          <w:p w:rsidR="003C5AA9" w:rsidRPr="007672C8" w:rsidRDefault="003C5AA9" w:rsidP="00763337">
            <w:pPr>
              <w:jc w:val="center"/>
            </w:pPr>
            <w:r w:rsidRPr="007672C8">
              <w:t>1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7672C8" w:rsidRDefault="003C5AA9" w:rsidP="00763337">
            <w:r w:rsidRPr="007672C8">
              <w:t>Порядок обеспечения промышленной безопасности при</w:t>
            </w:r>
          </w:p>
          <w:p w:rsidR="003C5AA9" w:rsidRPr="00927596" w:rsidRDefault="003C5AA9" w:rsidP="00763337">
            <w:r w:rsidRPr="007672C8">
              <w:t>оформлении наряда-допуска на производство работ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7672C8" w:rsidRDefault="003C5AA9" w:rsidP="00763337">
            <w:r w:rsidRPr="007672C8">
              <w:t>Порядок обеспечения промышленной безопасности</w:t>
            </w:r>
          </w:p>
          <w:p w:rsidR="003C5AA9" w:rsidRPr="00927596" w:rsidRDefault="003C5AA9" w:rsidP="00763337">
            <w:r w:rsidRPr="007672C8">
              <w:t>при хранении кислот и щелочей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 w:rsidRPr="007672C8">
              <w:t>0,5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F02084" w:rsidRDefault="003C5AA9" w:rsidP="00763337">
            <w:pPr>
              <w:jc w:val="center"/>
              <w:rPr>
                <w:b/>
              </w:rPr>
            </w:pPr>
            <w:r w:rsidRPr="00F02084">
              <w:rPr>
                <w:b/>
              </w:rPr>
              <w:t>Правила обеспечения промышленной безопасности для опасных</w:t>
            </w:r>
          </w:p>
          <w:p w:rsidR="003C5AA9" w:rsidRPr="00927596" w:rsidRDefault="003C5AA9" w:rsidP="00763337">
            <w:pPr>
              <w:jc w:val="center"/>
            </w:pPr>
            <w:r w:rsidRPr="00F02084">
              <w:rPr>
                <w:b/>
              </w:rPr>
              <w:lastRenderedPageBreak/>
              <w:t>производственных объектов в нефтехимической, нефтеперерабатывающей отраслях, нефтебаз и автозаправочных станций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F02084" w:rsidRDefault="003C5AA9" w:rsidP="00763337">
            <w:r w:rsidRPr="00F02084">
              <w:t>Порядок обеспечения промышленной безопасности при</w:t>
            </w:r>
          </w:p>
          <w:p w:rsidR="003C5AA9" w:rsidRPr="00F02084" w:rsidRDefault="003C5AA9" w:rsidP="00763337">
            <w:r w:rsidRPr="00F02084">
              <w:t>эксплуатации автозаправочных станций</w:t>
            </w:r>
          </w:p>
        </w:tc>
        <w:tc>
          <w:tcPr>
            <w:tcW w:w="1664" w:type="dxa"/>
            <w:vAlign w:val="center"/>
          </w:tcPr>
          <w:p w:rsidR="003C5AA9" w:rsidRPr="00F02084" w:rsidRDefault="003C5AA9" w:rsidP="00763337">
            <w:pPr>
              <w:jc w:val="center"/>
            </w:pPr>
            <w:r w:rsidRPr="00F02084">
              <w:t>1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F02084" w:rsidRDefault="003C5AA9" w:rsidP="00763337">
            <w:pPr>
              <w:jc w:val="center"/>
              <w:rPr>
                <w:b/>
              </w:rPr>
            </w:pPr>
            <w:r w:rsidRPr="00F02084">
              <w:rPr>
                <w:b/>
              </w:rPr>
              <w:t>Правила обеспечения промышленной безопасности при обращении с источниками ионизирующего излучения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A4135" w:rsidRDefault="003C5AA9" w:rsidP="0076333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9A4135">
              <w:rPr>
                <w:bCs/>
              </w:rPr>
              <w:t xml:space="preserve">Обеспечение промышленной безопасности при работах с источниками ионизирующего излучения. </w:t>
            </w:r>
            <w:r w:rsidRPr="00F02084">
              <w:rPr>
                <w:bCs/>
              </w:rPr>
              <w:t>Требования к системам отопления, вентиляции и</w:t>
            </w:r>
            <w:r w:rsidRPr="009A4135">
              <w:rPr>
                <w:bCs/>
              </w:rPr>
              <w:t xml:space="preserve"> </w:t>
            </w:r>
            <w:r w:rsidRPr="00F02084">
              <w:rPr>
                <w:bCs/>
              </w:rPr>
              <w:t>кондиционирования воздуха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A4135" w:rsidRDefault="003C5AA9" w:rsidP="0076333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9A4135">
              <w:rPr>
                <w:bCs/>
              </w:rPr>
              <w:t>Требования к работе с открытыми и закрытыми источниками ионизирующего излучения</w:t>
            </w:r>
          </w:p>
        </w:tc>
        <w:tc>
          <w:tcPr>
            <w:tcW w:w="1664" w:type="dxa"/>
            <w:vAlign w:val="center"/>
          </w:tcPr>
          <w:p w:rsidR="003C5AA9" w:rsidRPr="00927596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A4135" w:rsidRDefault="003C5AA9" w:rsidP="00763337">
            <w:pPr>
              <w:spacing w:before="100" w:beforeAutospacing="1" w:after="100" w:afterAutospacing="1"/>
              <w:outlineLvl w:val="2"/>
              <w:rPr>
                <w:bCs/>
              </w:rPr>
            </w:pPr>
            <w:r w:rsidRPr="009A4135">
              <w:rPr>
                <w:bCs/>
              </w:rPr>
              <w:t>Обращение с радиоактивными отходами.</w:t>
            </w:r>
            <w:r w:rsidRPr="009A4135">
              <w:t xml:space="preserve"> </w:t>
            </w:r>
            <w:r w:rsidRPr="009A4135">
              <w:rPr>
                <w:bCs/>
              </w:rPr>
              <w:t>Вывод из эксплуатации источников ионизирующего излучения.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560" w:type="dxa"/>
            <w:vAlign w:val="center"/>
          </w:tcPr>
          <w:p w:rsidR="003C5AA9" w:rsidRPr="00927596" w:rsidRDefault="003C5AA9" w:rsidP="003C5AA9">
            <w:pPr>
              <w:pStyle w:val="ad"/>
              <w:numPr>
                <w:ilvl w:val="0"/>
                <w:numId w:val="31"/>
              </w:numPr>
              <w:ind w:left="32" w:firstLine="0"/>
              <w:jc w:val="center"/>
            </w:pPr>
          </w:p>
        </w:tc>
        <w:tc>
          <w:tcPr>
            <w:tcW w:w="7121" w:type="dxa"/>
          </w:tcPr>
          <w:p w:rsidR="003C5AA9" w:rsidRPr="009A4135" w:rsidRDefault="003C5AA9" w:rsidP="00763337">
            <w:pPr>
              <w:spacing w:before="100" w:beforeAutospacing="1" w:after="100" w:afterAutospacing="1"/>
              <w:rPr>
                <w:bCs/>
              </w:rPr>
            </w:pPr>
            <w:r w:rsidRPr="009A4135">
              <w:rPr>
                <w:bCs/>
              </w:rPr>
              <w:t>Порядок обеспечения промышленной безопасности при транспортировании источников ионизирующего излучения. Порядок обеспечения промышленной безопасности при ликвидации аварий на объектах, использующих источники ионизирующего излучения.</w:t>
            </w:r>
          </w:p>
        </w:tc>
        <w:tc>
          <w:tcPr>
            <w:tcW w:w="1664" w:type="dxa"/>
            <w:vAlign w:val="center"/>
          </w:tcPr>
          <w:p w:rsidR="003C5AA9" w:rsidRDefault="003C5AA9" w:rsidP="00763337">
            <w:pPr>
              <w:jc w:val="center"/>
            </w:pPr>
            <w:r>
              <w:t>0,5</w:t>
            </w:r>
          </w:p>
        </w:tc>
      </w:tr>
      <w:tr w:rsidR="003C5AA9" w:rsidRPr="00927596" w:rsidTr="00763337">
        <w:tc>
          <w:tcPr>
            <w:tcW w:w="7681" w:type="dxa"/>
            <w:gridSpan w:val="2"/>
          </w:tcPr>
          <w:p w:rsidR="003C5AA9" w:rsidRPr="00927596" w:rsidRDefault="003C5AA9" w:rsidP="00763337">
            <w:pPr>
              <w:rPr>
                <w:b/>
              </w:rPr>
            </w:pPr>
            <w:r w:rsidRPr="00927596">
              <w:rPr>
                <w:b/>
              </w:rPr>
              <w:t>Итого:</w:t>
            </w:r>
          </w:p>
        </w:tc>
        <w:tc>
          <w:tcPr>
            <w:tcW w:w="1664" w:type="dxa"/>
          </w:tcPr>
          <w:p w:rsidR="003C5AA9" w:rsidRPr="00927596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927596" w:rsidRDefault="003C5AA9" w:rsidP="00763337">
            <w:pPr>
              <w:jc w:val="center"/>
            </w:pPr>
          </w:p>
        </w:tc>
      </w:tr>
      <w:tr w:rsidR="003C5AA9" w:rsidRPr="00927596" w:rsidTr="00763337">
        <w:tc>
          <w:tcPr>
            <w:tcW w:w="7681" w:type="dxa"/>
            <w:gridSpan w:val="2"/>
            <w:vAlign w:val="center"/>
          </w:tcPr>
          <w:p w:rsidR="003C5AA9" w:rsidRPr="007453B4" w:rsidRDefault="003C5AA9" w:rsidP="00763337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7453B4">
              <w:rPr>
                <w:b/>
                <w:bCs/>
              </w:rPr>
              <w:t>Экзаменационная проверка знаний</w:t>
            </w:r>
          </w:p>
        </w:tc>
        <w:tc>
          <w:tcPr>
            <w:tcW w:w="1664" w:type="dxa"/>
            <w:vAlign w:val="center"/>
          </w:tcPr>
          <w:p w:rsidR="003C5AA9" w:rsidRPr="007453B4" w:rsidRDefault="003C5AA9" w:rsidP="00763337">
            <w:pPr>
              <w:jc w:val="center"/>
              <w:rPr>
                <w:b/>
              </w:rPr>
            </w:pPr>
            <w:r w:rsidRPr="007453B4">
              <w:rPr>
                <w:b/>
              </w:rPr>
              <w:t>1</w:t>
            </w:r>
          </w:p>
        </w:tc>
      </w:tr>
      <w:tr w:rsidR="003C5AA9" w:rsidRPr="00927596" w:rsidTr="00763337">
        <w:tc>
          <w:tcPr>
            <w:tcW w:w="9345" w:type="dxa"/>
            <w:gridSpan w:val="3"/>
            <w:vAlign w:val="center"/>
          </w:tcPr>
          <w:p w:rsidR="003C5AA9" w:rsidRPr="007453B4" w:rsidRDefault="003C5AA9" w:rsidP="00763337">
            <w:pPr>
              <w:jc w:val="center"/>
              <w:rPr>
                <w:b/>
              </w:rPr>
            </w:pPr>
          </w:p>
        </w:tc>
      </w:tr>
      <w:tr w:rsidR="003C5AA9" w:rsidRPr="00927596" w:rsidTr="00763337">
        <w:tc>
          <w:tcPr>
            <w:tcW w:w="7681" w:type="dxa"/>
            <w:gridSpan w:val="2"/>
            <w:vAlign w:val="center"/>
          </w:tcPr>
          <w:p w:rsidR="003C5AA9" w:rsidRPr="007453B4" w:rsidRDefault="003C5AA9" w:rsidP="00763337">
            <w:pPr>
              <w:rPr>
                <w:b/>
              </w:rPr>
            </w:pPr>
            <w:r w:rsidRPr="007453B4">
              <w:rPr>
                <w:b/>
              </w:rPr>
              <w:t>ИТОГО</w:t>
            </w:r>
          </w:p>
        </w:tc>
        <w:tc>
          <w:tcPr>
            <w:tcW w:w="1664" w:type="dxa"/>
            <w:vAlign w:val="center"/>
          </w:tcPr>
          <w:p w:rsidR="003C5AA9" w:rsidRPr="007453B4" w:rsidRDefault="003C5AA9" w:rsidP="0076333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C5AA9" w:rsidRDefault="003C5AA9" w:rsidP="003C5AA9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3D1B23" w:rsidRDefault="003D1B23" w:rsidP="00EE6E66">
      <w:pPr>
        <w:jc w:val="both"/>
      </w:pPr>
    </w:p>
    <w:p w:rsidR="00F93650" w:rsidRDefault="003D1B23" w:rsidP="00EE6E66">
      <w:pPr>
        <w:jc w:val="both"/>
        <w:rPr>
          <w:bCs/>
        </w:rPr>
      </w:pPr>
      <w:r>
        <w:t>По завершению у</w:t>
      </w:r>
      <w:r>
        <w:rPr>
          <w:bCs/>
        </w:rPr>
        <w:t xml:space="preserve">чебной программы подготовки </w:t>
      </w:r>
      <w:r>
        <w:t>специалистов по курсу «</w:t>
      </w:r>
      <w:r w:rsidR="003C5AA9" w:rsidRPr="00927596">
        <w:t>Промышленная безопасность</w:t>
      </w:r>
      <w:r>
        <w:t xml:space="preserve">» </w:t>
      </w:r>
      <w:r>
        <w:rPr>
          <w:bCs/>
        </w:rPr>
        <w:t>между Заказчиком и Исполнителем подписывается Акт  оказанных услуг в двух экземплярах.</w:t>
      </w:r>
    </w:p>
    <w:p w:rsidR="0071121F" w:rsidRDefault="0071121F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sectPr w:rsidR="0071121F" w:rsidSect="003D1B2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F265E8"/>
    <w:multiLevelType w:val="hybridMultilevel"/>
    <w:tmpl w:val="71FC31C6"/>
    <w:lvl w:ilvl="0" w:tplc="A394F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C7C6F"/>
    <w:multiLevelType w:val="hybridMultilevel"/>
    <w:tmpl w:val="1F64A97A"/>
    <w:lvl w:ilvl="0" w:tplc="F8685BD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5D530413"/>
    <w:multiLevelType w:val="hybridMultilevel"/>
    <w:tmpl w:val="0C1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2"/>
  </w:num>
  <w:num w:numId="5">
    <w:abstractNumId w:val="15"/>
  </w:num>
  <w:num w:numId="6">
    <w:abstractNumId w:val="21"/>
  </w:num>
  <w:num w:numId="7">
    <w:abstractNumId w:val="14"/>
  </w:num>
  <w:num w:numId="8">
    <w:abstractNumId w:val="13"/>
  </w:num>
  <w:num w:numId="9">
    <w:abstractNumId w:val="23"/>
  </w:num>
  <w:num w:numId="10">
    <w:abstractNumId w:val="24"/>
  </w:num>
  <w:num w:numId="11">
    <w:abstractNumId w:val="26"/>
  </w:num>
  <w:num w:numId="12">
    <w:abstractNumId w:val="4"/>
  </w:num>
  <w:num w:numId="13">
    <w:abstractNumId w:val="9"/>
  </w:num>
  <w:num w:numId="14">
    <w:abstractNumId w:val="27"/>
  </w:num>
  <w:num w:numId="15">
    <w:abstractNumId w:val="10"/>
  </w:num>
  <w:num w:numId="16">
    <w:abstractNumId w:val="28"/>
  </w:num>
  <w:num w:numId="17">
    <w:abstractNumId w:val="0"/>
  </w:num>
  <w:num w:numId="18">
    <w:abstractNumId w:val="19"/>
  </w:num>
  <w:num w:numId="19">
    <w:abstractNumId w:val="18"/>
  </w:num>
  <w:num w:numId="20">
    <w:abstractNumId w:val="12"/>
  </w:num>
  <w:num w:numId="21">
    <w:abstractNumId w:val="23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20"/>
  </w:num>
  <w:num w:numId="27">
    <w:abstractNumId w:val="17"/>
  </w:num>
  <w:num w:numId="28">
    <w:abstractNumId w:val="5"/>
  </w:num>
  <w:num w:numId="29">
    <w:abstractNumId w:val="3"/>
  </w:num>
  <w:num w:numId="30">
    <w:abstractNumId w:val="16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C5AA9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820DA"/>
    <w:rsid w:val="0059318C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2398D"/>
    <w:rsid w:val="00C33671"/>
    <w:rsid w:val="00C43C93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D0756"/>
    <w:rsid w:val="00DD0B4A"/>
    <w:rsid w:val="00DF207E"/>
    <w:rsid w:val="00E02422"/>
    <w:rsid w:val="00E07B06"/>
    <w:rsid w:val="00E13A62"/>
    <w:rsid w:val="00E15950"/>
    <w:rsid w:val="00E1606A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4">
    <w:name w:val="No Spacing"/>
    <w:uiPriority w:val="1"/>
    <w:qFormat/>
    <w:rsid w:val="003C5A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Есимова Бибикуль</cp:lastModifiedBy>
  <cp:revision>2</cp:revision>
  <cp:lastPrinted>2021-11-18T12:56:00Z</cp:lastPrinted>
  <dcterms:created xsi:type="dcterms:W3CDTF">2023-09-07T10:01:00Z</dcterms:created>
  <dcterms:modified xsi:type="dcterms:W3CDTF">2023-09-07T10:01:00Z</dcterms:modified>
</cp:coreProperties>
</file>