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375257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375257">
        <w:rPr>
          <w:b/>
          <w:color w:val="000000"/>
        </w:rPr>
        <w:t>ТЕХНИЧЕСКОЕ ЗАДАНИЕ</w:t>
      </w:r>
    </w:p>
    <w:p w:rsidR="00A679C2" w:rsidRPr="00375257" w:rsidRDefault="00A679C2" w:rsidP="00A679C2">
      <w:pPr>
        <w:jc w:val="center"/>
        <w:rPr>
          <w:b/>
          <w:color w:val="000000"/>
        </w:rPr>
      </w:pPr>
    </w:p>
    <w:p w:rsidR="003C5AA9" w:rsidRPr="00375257" w:rsidRDefault="003C5AA9" w:rsidP="003C5AA9">
      <w:pPr>
        <w:jc w:val="center"/>
        <w:rPr>
          <w:b/>
        </w:rPr>
      </w:pPr>
      <w:r w:rsidRPr="00375257">
        <w:rPr>
          <w:b/>
        </w:rPr>
        <w:t xml:space="preserve">Программа обучения </w:t>
      </w:r>
    </w:p>
    <w:p w:rsidR="003C5AA9" w:rsidRPr="00375257" w:rsidRDefault="003C5AA9" w:rsidP="003C5AA9"/>
    <w:p w:rsidR="00EC21DF" w:rsidRPr="00EC21DF" w:rsidRDefault="00EC21DF" w:rsidP="00EC21DF">
      <w:pPr>
        <w:jc w:val="center"/>
        <w:rPr>
          <w:rFonts w:ascii="Cambria" w:hAnsi="Cambria"/>
          <w:b/>
        </w:rPr>
      </w:pPr>
      <w:r w:rsidRPr="00EC21DF">
        <w:rPr>
          <w:b/>
        </w:rPr>
        <w:t>«Правила обращения и работы с прекурсорами»</w:t>
      </w:r>
    </w:p>
    <w:p w:rsidR="00EC21DF" w:rsidRPr="009D0D23" w:rsidRDefault="00EC21DF" w:rsidP="00EC21DF">
      <w:pPr>
        <w:ind w:firstLine="397"/>
        <w:jc w:val="center"/>
        <w:rPr>
          <w:rFonts w:ascii="Cambria" w:hAnsi="Cambria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9187"/>
      </w:tblGrid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  <w:b/>
              </w:rPr>
            </w:pPr>
            <w:r w:rsidRPr="00DE2A7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  <w:b/>
              </w:rPr>
            </w:pPr>
            <w:r w:rsidRPr="00DE2A77">
              <w:rPr>
                <w:rFonts w:ascii="Cambria" w:hAnsi="Cambria"/>
                <w:b/>
              </w:rPr>
              <w:t>Наименование тем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Прекурсоры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Основные нормативно-правовые акты в части контроля прекурсоров в Республике Казахстан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Правила промышленной безопасности в РК в соответствии Закона о гражданской защите в РК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Государственное регулирование прекурсоров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Список наркотических средств, психотропных веществ и прекурсоров, подлежащих контролю в Республике Казахстан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Сводная таблица об отнесении наркотических средств, психотропных веществ, их аналогов и прекурсоров, обнаруженных в незаконном обороте к небольшим, крупным и особо крупным размерам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Правила ввоза, вывоза, транзита наркотических средств, психотропных веществ и прекурсоров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Основные принципы государственного регулирования оборота наркотических средств, психотропных веществ, их аналогов, прекурсоров и мер противодействия их незаконному обороту и злоупотреблению ими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Государственный контроль за оборотом наркотических средств, психотропных веществ, прекурсоров и меры противодействия их незаконному обороту и злоупотреблению ими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Уничтожение наркотических средств, психотропных веществ, их аналогов и прекурсоров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Квалификационные требования и перечень документов, подтверждающих соответствие им, для деятельности, связанной с оборотом наркотических средств, психотропных веществ и прекурсоров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Ввоз на территорию Республики Казахстан из стран, не входящих в Евразийский экономический союз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Хранение наркотических средств, психотропных веществ и прекурсоров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 xml:space="preserve">Физико-химические свойства часто используемых прекурсоров 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Сильнодействующие ядовитые вещества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Порядок безопасной работы с ядовитыми веществами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Требования промышленной безопасности к химическим лабораториям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Пожарная безопасность при работе с прекурсорами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Первая помощь при отравлениях прекурсорами и ядовитыми веществами в процессе работы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Уголовная ответственность за незаконный оборот прекурсоров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</w:tbl>
    <w:p w:rsidR="003D1B23" w:rsidRPr="00375257" w:rsidRDefault="003D1B23" w:rsidP="00EE6E66">
      <w:pPr>
        <w:jc w:val="both"/>
      </w:pPr>
    </w:p>
    <w:p w:rsidR="00F76B88" w:rsidRDefault="00F76B88" w:rsidP="00EE6E66">
      <w:pPr>
        <w:jc w:val="both"/>
      </w:pPr>
    </w:p>
    <w:p w:rsidR="00F76B88" w:rsidRDefault="00F76B88" w:rsidP="00F76B8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F76B88" w:rsidRDefault="00F76B88" w:rsidP="00F76B88">
      <w:pPr>
        <w:jc w:val="both"/>
        <w:rPr>
          <w:bCs/>
        </w:rPr>
      </w:pP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 w:rsidR="00EF28B2">
        <w:rPr>
          <w:bCs/>
          <w:lang w:val="kk-KZ"/>
        </w:rPr>
        <w:t>прекурсоров</w:t>
      </w:r>
      <w:r>
        <w:rPr>
          <w:bCs/>
        </w:rPr>
        <w:t>.</w:t>
      </w:r>
    </w:p>
    <w:p w:rsidR="00F76B88" w:rsidRDefault="00F76B88" w:rsidP="00EE6E66">
      <w:pPr>
        <w:jc w:val="both"/>
      </w:pPr>
    </w:p>
    <w:p w:rsidR="00F93650" w:rsidRPr="00375257" w:rsidRDefault="003D1B23" w:rsidP="00EE6E66">
      <w:pPr>
        <w:jc w:val="both"/>
        <w:rPr>
          <w:bCs/>
        </w:rPr>
      </w:pPr>
      <w:r w:rsidRPr="00375257">
        <w:t>По завершению у</w:t>
      </w:r>
      <w:r w:rsidRPr="00375257">
        <w:rPr>
          <w:bCs/>
        </w:rPr>
        <w:t xml:space="preserve">чебной программы подготовки </w:t>
      </w:r>
      <w:r w:rsidRPr="00375257">
        <w:t xml:space="preserve">специалистов по курсу </w:t>
      </w:r>
      <w:r w:rsidR="00EC21DF" w:rsidRPr="00EC21DF">
        <w:rPr>
          <w:b/>
        </w:rPr>
        <w:t>«Правила обращения и работы с прекурсорами»</w:t>
      </w:r>
      <w:r w:rsidRPr="00375257">
        <w:t xml:space="preserve"> </w:t>
      </w:r>
      <w:r w:rsidRPr="00375257">
        <w:rPr>
          <w:bCs/>
        </w:rPr>
        <w:t xml:space="preserve">между Заказчиком и Исполнителем подписывается </w:t>
      </w:r>
      <w:r w:rsidR="00CE0E6B" w:rsidRPr="00375257">
        <w:rPr>
          <w:bCs/>
        </w:rPr>
        <w:t>Акт оказанных</w:t>
      </w:r>
      <w:r w:rsidRPr="00375257">
        <w:rPr>
          <w:bCs/>
        </w:rPr>
        <w:t xml:space="preserve"> услуг в двух экземплярах.</w:t>
      </w:r>
    </w:p>
    <w:p w:rsidR="0071121F" w:rsidRPr="00375257" w:rsidRDefault="0071121F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 xml:space="preserve">Начальник </w:t>
      </w:r>
      <w:r w:rsidR="004F19EE" w:rsidRPr="00375257">
        <w:rPr>
          <w:b/>
        </w:rPr>
        <w:t>ООП</w:t>
      </w:r>
      <w:r w:rsidR="0023411B">
        <w:rPr>
          <w:b/>
        </w:rPr>
        <w:t>П</w:t>
      </w:r>
    </w:p>
    <w:p w:rsidR="00E968D3" w:rsidRPr="00375257" w:rsidRDefault="00E968D3" w:rsidP="00E968D3">
      <w:pPr>
        <w:ind w:left="397"/>
        <w:rPr>
          <w:b/>
        </w:rPr>
      </w:pPr>
      <w:r w:rsidRPr="00375257">
        <w:rPr>
          <w:b/>
        </w:rPr>
        <w:t>филиала «КЯУ» ТОО «ИВТ»</w:t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</w:r>
      <w:r w:rsidRPr="00375257">
        <w:rPr>
          <w:b/>
        </w:rPr>
        <w:tab/>
        <w:t>Молдабергенов Е.Е.</w:t>
      </w:r>
    </w:p>
    <w:p w:rsidR="00E968D3" w:rsidRPr="00375257" w:rsidRDefault="00E968D3" w:rsidP="00E968D3">
      <w:pPr>
        <w:ind w:left="397"/>
      </w:pPr>
    </w:p>
    <w:p w:rsidR="00E968D3" w:rsidRPr="00375257" w:rsidRDefault="00E968D3" w:rsidP="00E968D3">
      <w:pPr>
        <w:ind w:left="397"/>
      </w:pPr>
    </w:p>
    <w:p w:rsidR="008E77B3" w:rsidRPr="00375257" w:rsidRDefault="008E77B3" w:rsidP="003B7421">
      <w:pPr>
        <w:jc w:val="both"/>
        <w:rPr>
          <w:b/>
        </w:rPr>
      </w:pPr>
    </w:p>
    <w:p w:rsidR="0071121F" w:rsidRPr="00375257" w:rsidRDefault="0071121F" w:rsidP="008E77B3">
      <w:pPr>
        <w:ind w:left="397"/>
      </w:pPr>
    </w:p>
    <w:sectPr w:rsidR="0071121F" w:rsidRPr="00375257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4DD8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21DF"/>
    <w:rsid w:val="00ED450B"/>
    <w:rsid w:val="00EE2456"/>
    <w:rsid w:val="00EE6E66"/>
    <w:rsid w:val="00EF28B2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2024-01-30T08:38:00Z</dcterms:created>
  <dcterms:modified xsi:type="dcterms:W3CDTF">2024-01-30T08:38:00Z</dcterms:modified>
</cp:coreProperties>
</file>