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C2" w:rsidRPr="00C2398D" w:rsidRDefault="00A679C2" w:rsidP="00A679C2">
      <w:pPr>
        <w:jc w:val="center"/>
        <w:rPr>
          <w:b/>
          <w:color w:val="000000"/>
        </w:rPr>
      </w:pPr>
      <w:bookmarkStart w:id="0" w:name="_GoBack"/>
      <w:bookmarkEnd w:id="0"/>
      <w:r w:rsidRPr="00C2398D">
        <w:rPr>
          <w:b/>
          <w:color w:val="000000"/>
        </w:rPr>
        <w:t>ТЕХНИЧЕСКОЕ ЗАДАНИЕ</w:t>
      </w:r>
    </w:p>
    <w:p w:rsidR="00A679C2" w:rsidRPr="00C2398D" w:rsidRDefault="00A679C2" w:rsidP="00A679C2">
      <w:pPr>
        <w:jc w:val="center"/>
        <w:rPr>
          <w:b/>
          <w:color w:val="000000"/>
        </w:rPr>
      </w:pPr>
    </w:p>
    <w:p w:rsidR="00294914" w:rsidRPr="007248DD" w:rsidRDefault="00294914" w:rsidP="00294914">
      <w:pPr>
        <w:widowControl w:val="0"/>
        <w:autoSpaceDE w:val="0"/>
        <w:autoSpaceDN w:val="0"/>
        <w:adjustRightInd w:val="0"/>
        <w:jc w:val="center"/>
      </w:pPr>
      <w:r w:rsidRPr="007248DD">
        <w:rPr>
          <w:b/>
          <w:bCs/>
        </w:rPr>
        <w:t>УЧЕБНАЯ ПРОГРАММА</w:t>
      </w:r>
    </w:p>
    <w:p w:rsidR="00294914" w:rsidRPr="007248DD" w:rsidRDefault="00294914" w:rsidP="00294914">
      <w:pPr>
        <w:autoSpaceDE w:val="0"/>
        <w:autoSpaceDN w:val="0"/>
        <w:adjustRightInd w:val="0"/>
        <w:jc w:val="center"/>
        <w:rPr>
          <w:b/>
          <w:bCs/>
        </w:rPr>
      </w:pPr>
      <w:r w:rsidRPr="007248DD">
        <w:rPr>
          <w:b/>
          <w:bCs/>
        </w:rPr>
        <w:t>по развитию специальных профессиональных компетенций</w:t>
      </w:r>
    </w:p>
    <w:p w:rsidR="00294914" w:rsidRDefault="00294914" w:rsidP="00294914">
      <w:pPr>
        <w:autoSpaceDE w:val="0"/>
        <w:autoSpaceDN w:val="0"/>
        <w:adjustRightInd w:val="0"/>
        <w:jc w:val="center"/>
        <w:rPr>
          <w:b/>
          <w:bCs/>
        </w:rPr>
      </w:pPr>
      <w:r w:rsidRPr="007248DD">
        <w:rPr>
          <w:b/>
          <w:bCs/>
        </w:rPr>
        <w:t>по вопросам безопасности и охраны труда с учетом отраслевой специфики</w:t>
      </w:r>
    </w:p>
    <w:p w:rsidR="00AD308B" w:rsidRDefault="00AD308B" w:rsidP="00294914">
      <w:pPr>
        <w:autoSpaceDE w:val="0"/>
        <w:autoSpaceDN w:val="0"/>
        <w:adjustRightInd w:val="0"/>
        <w:jc w:val="center"/>
        <w:rPr>
          <w:b/>
          <w:bCs/>
        </w:rPr>
      </w:pPr>
    </w:p>
    <w:p w:rsidR="00AD308B" w:rsidRDefault="00AD308B" w:rsidP="00AD308B">
      <w:pPr>
        <w:autoSpaceDE w:val="0"/>
        <w:autoSpaceDN w:val="0"/>
        <w:adjustRightInd w:val="0"/>
        <w:rPr>
          <w:bCs/>
        </w:rPr>
      </w:pPr>
      <w:r w:rsidRPr="00AD308B">
        <w:rPr>
          <w:bCs/>
        </w:rPr>
        <w:t>Формат: Онлайн</w:t>
      </w:r>
    </w:p>
    <w:p w:rsidR="00AD308B" w:rsidRPr="00AD308B" w:rsidRDefault="00AD308B" w:rsidP="00AD308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Дата проведения: 15-19 апреля 2024г. (1 группа) </w:t>
      </w:r>
    </w:p>
    <w:p w:rsidR="00294914" w:rsidRDefault="00294914" w:rsidP="0029491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1"/>
        <w:gridCol w:w="611"/>
        <w:gridCol w:w="466"/>
        <w:gridCol w:w="416"/>
      </w:tblGrid>
      <w:tr w:rsidR="00294914" w:rsidRPr="00342FC0" w:rsidTr="00467A88">
        <w:trPr>
          <w:trHeight w:val="20"/>
          <w:jc w:val="center"/>
        </w:trPr>
        <w:tc>
          <w:tcPr>
            <w:tcW w:w="4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914" w:rsidRPr="00C637F1" w:rsidRDefault="00294914" w:rsidP="00467A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F1">
              <w:rPr>
                <w:b/>
              </w:rPr>
              <w:t>Наименование учебного модуля и краткое содержание тем</w:t>
            </w: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C637F1" w:rsidRDefault="00294914" w:rsidP="00467A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F1">
              <w:rPr>
                <w:b/>
              </w:rPr>
              <w:t>Объем часов по категориям субъектов</w:t>
            </w:r>
            <w:r w:rsidRPr="00C637F1">
              <w:rPr>
                <w:rStyle w:val="af7"/>
                <w:b/>
              </w:rPr>
              <w:footnoteReference w:id="1"/>
            </w:r>
          </w:p>
        </w:tc>
      </w:tr>
      <w:tr w:rsidR="00294914" w:rsidRPr="00342FC0" w:rsidTr="00467A88">
        <w:trPr>
          <w:cantSplit/>
          <w:trHeight w:val="1328"/>
          <w:jc w:val="center"/>
        </w:trPr>
        <w:tc>
          <w:tcPr>
            <w:tcW w:w="419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C637F1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4914" w:rsidRPr="00C637F1" w:rsidRDefault="00294914" w:rsidP="00467A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637F1">
              <w:rPr>
                <w:b/>
              </w:rPr>
              <w:t>Крупный</w:t>
            </w:r>
          </w:p>
        </w:tc>
        <w:tc>
          <w:tcPr>
            <w:tcW w:w="252" w:type="pct"/>
            <w:textDirection w:val="btLr"/>
          </w:tcPr>
          <w:p w:rsidR="00294914" w:rsidRPr="00C637F1" w:rsidRDefault="00294914" w:rsidP="00467A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637F1">
              <w:rPr>
                <w:b/>
              </w:rPr>
              <w:t>Средний</w:t>
            </w:r>
          </w:p>
        </w:tc>
        <w:tc>
          <w:tcPr>
            <w:tcW w:w="225" w:type="pct"/>
            <w:textDirection w:val="btLr"/>
          </w:tcPr>
          <w:p w:rsidR="00294914" w:rsidRPr="00C637F1" w:rsidRDefault="00294914" w:rsidP="00467A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637F1">
              <w:rPr>
                <w:b/>
              </w:rPr>
              <w:t>Малый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6D1026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026">
              <w:rPr>
                <w:b/>
              </w:rPr>
              <w:t>МОДУЛЬ 1</w:t>
            </w:r>
          </w:p>
          <w:p w:rsidR="00294914" w:rsidRPr="009517C5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17C5">
              <w:rPr>
                <w:b/>
              </w:rPr>
              <w:t>ОБЗОР ЗАКОНОДАТЕЛЬСТВА В ОБЛАСТИ БЕЗОПАСНОСТИ И ОХРАНЫ ТРУДА В РЕСПУБЛИКЕ КАЗАХСТАН</w:t>
            </w:r>
          </w:p>
          <w:p w:rsidR="00294914" w:rsidRPr="00B36970" w:rsidRDefault="00294914" w:rsidP="00467A8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517C5">
              <w:t xml:space="preserve">Обзор законодательства в РЕСПУБЛИКЕ КАЗАХСТАН в </w:t>
            </w:r>
            <w:proofErr w:type="gramStart"/>
            <w:r w:rsidRPr="009517C5">
              <w:t>области  безопасности</w:t>
            </w:r>
            <w:proofErr w:type="gramEnd"/>
            <w:r w:rsidRPr="009517C5">
              <w:t xml:space="preserve"> и охраны труда с учетом изменений и дополнений.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 w:rsidRPr="006D1026">
              <w:rPr>
                <w:b/>
              </w:rPr>
              <w:t>МОДУЛЬ 2</w:t>
            </w:r>
            <w:r>
              <w:t xml:space="preserve"> 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15A6">
              <w:rPr>
                <w:b/>
              </w:rPr>
              <w:t xml:space="preserve">МЕЖДУНАРОДНЫЕ НОРМЫ В </w:t>
            </w:r>
            <w:r>
              <w:rPr>
                <w:b/>
              </w:rPr>
              <w:t xml:space="preserve">ОБЛАСТИ БЕЗОПАСНОСТИ </w:t>
            </w:r>
            <w:proofErr w:type="gramStart"/>
            <w:r>
              <w:rPr>
                <w:b/>
              </w:rPr>
              <w:t xml:space="preserve">И </w:t>
            </w:r>
            <w:r w:rsidRPr="00B915A6">
              <w:rPr>
                <w:b/>
              </w:rPr>
              <w:t xml:space="preserve"> ОХРАНЫ</w:t>
            </w:r>
            <w:proofErr w:type="gramEnd"/>
            <w:r w:rsidRPr="00B915A6">
              <w:rPr>
                <w:b/>
              </w:rPr>
              <w:t xml:space="preserve"> ТРУДА С УЧЕТОМ ОТРАСЛЕВОЙ СПЕЦИФИКИ</w:t>
            </w:r>
          </w:p>
          <w:p w:rsidR="00294914" w:rsidRPr="00B915A6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4914" w:rsidRPr="00332436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2436">
              <w:rPr>
                <w:b/>
              </w:rPr>
              <w:t xml:space="preserve">Международные нормы, ратифицированные Республикой Казахстан в области безопасности и охраны труда, применимые на </w:t>
            </w:r>
            <w:proofErr w:type="gramStart"/>
            <w:r w:rsidRPr="00332436">
              <w:rPr>
                <w:b/>
              </w:rPr>
              <w:t>предприятиях  с</w:t>
            </w:r>
            <w:proofErr w:type="gramEnd"/>
            <w:r w:rsidRPr="00332436">
              <w:rPr>
                <w:b/>
              </w:rPr>
              <w:t xml:space="preserve"> учетом отраслевой специфики.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 w:rsidRPr="00560E99">
              <w:t>Обзор международного опыта в организации охраны труда с учетом отраслевой специфики. Концепция «</w:t>
            </w:r>
            <w:proofErr w:type="spellStart"/>
            <w:r w:rsidRPr="00560E99">
              <w:t>Vision</w:t>
            </w:r>
            <w:proofErr w:type="spellEnd"/>
            <w:r w:rsidRPr="00560E99">
              <w:t xml:space="preserve"> </w:t>
            </w:r>
            <w:proofErr w:type="spellStart"/>
            <w:r w:rsidRPr="00560E99">
              <w:t>Zero</w:t>
            </w:r>
            <w:proofErr w:type="spellEnd"/>
            <w:r w:rsidRPr="00560E99">
              <w:t>» или «Нулевой травматизм». Цифровизация в сфере охраны труда.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МОДУЛЬ 3</w:t>
            </w:r>
            <w:r>
              <w:t xml:space="preserve"> </w:t>
            </w:r>
          </w:p>
          <w:p w:rsidR="00294914" w:rsidRPr="00B36970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6970">
              <w:rPr>
                <w:b/>
              </w:rPr>
              <w:t>ОТРАСЛЕВАЯ СПЕЦИФИКА НОРМАТИВНОГО РЕГУЛИРОВАНИЯ БЕЗОПАСНОСТИ И ОХРАНЫ ТРУДА</w:t>
            </w:r>
            <w:r>
              <w:rPr>
                <w:b/>
              </w:rPr>
              <w:t xml:space="preserve"> В РЕСПУБЛИКЕ КАЗАХСТАН</w:t>
            </w:r>
          </w:p>
          <w:p w:rsidR="00294914" w:rsidRPr="00B36970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4914" w:rsidRPr="006D1026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6970">
              <w:t xml:space="preserve">Нормативные правовые акты и нормативно-технические документы в области безопасности и охраны труда, регулирующие организацию и обеспечение безопасного труда в отрасли. Ответственность работников за </w:t>
            </w:r>
            <w:r w:rsidRPr="00B36970">
              <w:lastRenderedPageBreak/>
              <w:t>невыполнение требований охраны труда (своих трудовых обязанностей). Виды ответственности: дисциплинарная, материальная, гражданско-правовая, административная, уголовная.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МОДУЛЬ 4</w:t>
            </w:r>
            <w:r>
              <w:t xml:space="preserve"> 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</w:p>
          <w:p w:rsidR="00294914" w:rsidRPr="00811C2E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1C2E">
              <w:rPr>
                <w:b/>
              </w:rPr>
              <w:t>РЕКОМЕНДАЦИИ К ПРИМЕНЕНИЮ СИСТЕМНОГО ПОДХОДА В УПРАВЛЕНИИ ОХРАНОЙ ТРУДА С УЧЕТОМ ОТРАСЛЕВОЙ СПЕЦИФИКИ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Л</w:t>
            </w:r>
            <w:r w:rsidRPr="00811C2E">
              <w:t>учши</w:t>
            </w:r>
            <w:r>
              <w:t>е</w:t>
            </w:r>
            <w:r w:rsidRPr="00811C2E">
              <w:t xml:space="preserve"> практик</w:t>
            </w:r>
            <w:r>
              <w:t>и</w:t>
            </w:r>
            <w:r w:rsidRPr="00811C2E">
              <w:t xml:space="preserve"> в сфере организации безопасности и охраны труда в отрасли. Методические рекомендации по выполнению этапов построения системы управления охраной труда с практическими примерами. Отраслевая специфика структуры затрат на охрану труда.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МОДУЛЬ 5</w:t>
            </w:r>
            <w:r>
              <w:t xml:space="preserve"> 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</w:p>
          <w:p w:rsidR="00294914" w:rsidRPr="00D44D0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4D04">
              <w:rPr>
                <w:b/>
              </w:rPr>
              <w:t xml:space="preserve">ТЕКУЩЕЕ СОСТОЯНИЕ ОХРАНЫ ТРУДА В ОТРАСЛИ </w:t>
            </w:r>
          </w:p>
          <w:p w:rsidR="00294914" w:rsidRPr="00D44D04" w:rsidRDefault="00294914" w:rsidP="00467A88">
            <w:pPr>
              <w:autoSpaceDE w:val="0"/>
              <w:autoSpaceDN w:val="0"/>
              <w:adjustRightInd w:val="0"/>
              <w:jc w:val="both"/>
            </w:pPr>
          </w:p>
          <w:p w:rsidR="00294914" w:rsidRPr="00D44D04" w:rsidRDefault="00294914" w:rsidP="00467A88">
            <w:pPr>
              <w:autoSpaceDE w:val="0"/>
              <w:autoSpaceDN w:val="0"/>
              <w:adjustRightInd w:val="0"/>
              <w:jc w:val="both"/>
            </w:pPr>
            <w:r w:rsidRPr="00582213">
              <w:t>Анализ состояния и причин производственного травматизма, профессиональных заболеваний и заболеваний, обусловленных производственными факторами производственно-обусловленных заболеваний в отрасли. Экономические потери от несчастных случаев, связанных с трудовой деятельностью в отрасли.</w:t>
            </w:r>
            <w:r>
              <w:t xml:space="preserve"> </w:t>
            </w:r>
          </w:p>
          <w:p w:rsidR="00294914" w:rsidRPr="00D44D04" w:rsidRDefault="00294914" w:rsidP="00467A88">
            <w:pPr>
              <w:autoSpaceDE w:val="0"/>
              <w:autoSpaceDN w:val="0"/>
              <w:adjustRightInd w:val="0"/>
              <w:jc w:val="both"/>
            </w:pP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294914" w:rsidRPr="00342FC0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МОДУЛЬ 6</w:t>
            </w:r>
            <w:r>
              <w:t xml:space="preserve"> 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</w:p>
          <w:p w:rsidR="00294914" w:rsidRPr="00C46809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46809">
              <w:rPr>
                <w:b/>
                <w:bCs/>
              </w:rPr>
              <w:t>ОТРАСЛЕВАЯ СПЕЦИФИКА УСЛОВИЙ ТРУДА И ПРОФЕССИОНАЛЬНЫЕ РИСКИ</w:t>
            </w:r>
          </w:p>
          <w:p w:rsidR="00294914" w:rsidRPr="00C46809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94914" w:rsidRPr="00050305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46809">
              <w:rPr>
                <w:bCs/>
              </w:rPr>
              <w:t>Условия труда характерные для предприятий различных отраслей промышленности. Доминирующие профессиональные риски, степень их воздействия. Классификация условий труда по ведущим показателям вредности и опасности факторов производственной среды.</w:t>
            </w:r>
            <w:r>
              <w:rPr>
                <w:bCs/>
              </w:rPr>
              <w:t xml:space="preserve"> </w:t>
            </w:r>
            <w:r w:rsidRPr="00332436">
              <w:rPr>
                <w:bCs/>
              </w:rPr>
              <w:t>Идентификация опасностей.</w:t>
            </w:r>
            <w:r w:rsidRPr="00C46809">
              <w:rPr>
                <w:bCs/>
              </w:rPr>
              <w:t xml:space="preserve"> Оценка </w:t>
            </w:r>
            <w:r>
              <w:rPr>
                <w:bCs/>
              </w:rPr>
              <w:t>рисков.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МОДУЛЬ 7</w:t>
            </w:r>
          </w:p>
          <w:p w:rsidR="00294914" w:rsidRPr="004C5CCD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C5CCD">
              <w:rPr>
                <w:b/>
                <w:bCs/>
              </w:rPr>
              <w:t xml:space="preserve">СРЕДСТВА ЗАЩИТЫ </w:t>
            </w:r>
            <w:r>
              <w:rPr>
                <w:b/>
                <w:bCs/>
              </w:rPr>
              <w:t xml:space="preserve">И ИХ ОТРАСЛЕВЫЕ ПАРАМЕТРЫ ПРИМЕНЕНИЯ. 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94914" w:rsidRPr="00050305" w:rsidRDefault="00294914" w:rsidP="00467A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E074EA">
              <w:rPr>
                <w:bCs/>
              </w:rPr>
              <w:t>Классификация и основные виды средств индивидуальной и коллективной защиты. Параметры</w:t>
            </w:r>
            <w:r>
              <w:rPr>
                <w:bCs/>
              </w:rPr>
              <w:t>.</w:t>
            </w:r>
            <w:r w:rsidRPr="00E074EA">
              <w:rPr>
                <w:bCs/>
              </w:rPr>
              <w:t xml:space="preserve"> Характер их применения и использования в зависимости от условий труда, профессиональных рисков, характерных для отрасли.</w:t>
            </w:r>
            <w:r>
              <w:rPr>
                <w:bCs/>
              </w:rPr>
              <w:t xml:space="preserve"> 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4914" w:rsidRPr="00342FC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МОДУЛЬ 8</w:t>
            </w:r>
            <w:r>
              <w:t xml:space="preserve"> 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</w:pPr>
          </w:p>
          <w:p w:rsidR="00294914" w:rsidRPr="00D44D0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4D04">
              <w:rPr>
                <w:b/>
                <w:bCs/>
              </w:rPr>
              <w:t>ОТРАСЛЕВОЙ ХАРАКТЕР СОЦИАЛЬНОГО ПАРТНЕРСТВА В СФЕРЕ ОХРАНЫ ТРУДА</w:t>
            </w:r>
          </w:p>
          <w:p w:rsidR="00294914" w:rsidRPr="00D44D0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32436">
              <w:rPr>
                <w:bCs/>
              </w:rPr>
              <w:t xml:space="preserve">Понятие «культура охраны труда». Роль руководящих работников в повышении культуры охраны труда. Поведенческий лидерский аудит. Положительная и отрицательная культура. Взаимосвязь между культурой и показателями охраны труда. Показатели оценки культуры охраны труда. Стили поведения работника и внутренняя мотивация на соблюдение требований охраны труда. </w:t>
            </w:r>
          </w:p>
          <w:p w:rsidR="00294914" w:rsidRDefault="00294914" w:rsidP="00467A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13">
              <w:rPr>
                <w:bCs/>
              </w:rPr>
              <w:t>Стороны социального партнерства, организация социального партнерства в отрасли. Отраслевые соглашения</w:t>
            </w:r>
            <w:r>
              <w:rPr>
                <w:bCs/>
              </w:rPr>
              <w:t xml:space="preserve">  </w:t>
            </w:r>
            <w:r w:rsidRPr="00582213">
              <w:rPr>
                <w:bCs/>
              </w:rPr>
              <w:t xml:space="preserve"> по вопросам безопасности и охраны труда. Совместная работа социальных партнеров, в том числе при расследовании несчастных случаев, связанных с трудовой деятельностью </w:t>
            </w:r>
            <w:r w:rsidRPr="00582213">
              <w:rPr>
                <w:bCs/>
              </w:rPr>
              <w:lastRenderedPageBreak/>
              <w:t>с выполнением трудовых/служебных обязанностей на конкретных примерах. Право работников на остановку работы. Происшествие без последствий.</w:t>
            </w:r>
          </w:p>
          <w:p w:rsidR="00294914" w:rsidRPr="00050305" w:rsidRDefault="00294914" w:rsidP="00467A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2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" w:type="pct"/>
          </w:tcPr>
          <w:p w:rsidR="00294914" w:rsidRPr="002364BF" w:rsidRDefault="00294914" w:rsidP="00467A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94914" w:rsidRPr="002E3C50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342FC0" w:rsidRDefault="00294914" w:rsidP="00467A88">
            <w:pPr>
              <w:autoSpaceDE w:val="0"/>
              <w:autoSpaceDN w:val="0"/>
              <w:adjustRightInd w:val="0"/>
              <w:jc w:val="both"/>
            </w:pPr>
            <w:r w:rsidRPr="00342FC0">
              <w:t>Экзамен (проверка знаний)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2E3C50" w:rsidRDefault="00294914" w:rsidP="00467A88">
            <w:pPr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294914" w:rsidRPr="002E3C50" w:rsidRDefault="00294914" w:rsidP="00467A88">
            <w:pPr>
              <w:jc w:val="center"/>
            </w:pPr>
            <w:r w:rsidRPr="002E3C50">
              <w:t>1</w:t>
            </w:r>
          </w:p>
        </w:tc>
        <w:tc>
          <w:tcPr>
            <w:tcW w:w="225" w:type="pct"/>
          </w:tcPr>
          <w:p w:rsidR="00294914" w:rsidRPr="002E3C50" w:rsidRDefault="00294914" w:rsidP="00467A88">
            <w:pPr>
              <w:jc w:val="center"/>
            </w:pPr>
            <w:r w:rsidRPr="002E3C50">
              <w:t>1</w:t>
            </w:r>
          </w:p>
        </w:tc>
      </w:tr>
      <w:tr w:rsidR="00294914" w:rsidTr="00467A88">
        <w:trPr>
          <w:trHeight w:val="20"/>
          <w:jc w:val="center"/>
        </w:trPr>
        <w:tc>
          <w:tcPr>
            <w:tcW w:w="4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342FC0" w:rsidRDefault="00294914" w:rsidP="00467A88">
            <w:pPr>
              <w:autoSpaceDE w:val="0"/>
              <w:autoSpaceDN w:val="0"/>
              <w:adjustRightInd w:val="0"/>
              <w:jc w:val="both"/>
            </w:pPr>
            <w:r w:rsidRPr="00342FC0">
              <w:t>Всего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914" w:rsidRPr="00961DC5" w:rsidRDefault="00294914" w:rsidP="00467A88">
            <w:pPr>
              <w:jc w:val="center"/>
            </w:pPr>
            <w:r w:rsidRPr="00961DC5">
              <w:t>40</w:t>
            </w:r>
          </w:p>
        </w:tc>
        <w:tc>
          <w:tcPr>
            <w:tcW w:w="252" w:type="pct"/>
          </w:tcPr>
          <w:p w:rsidR="00294914" w:rsidRPr="00961DC5" w:rsidRDefault="00294914" w:rsidP="00467A88">
            <w:pPr>
              <w:jc w:val="center"/>
            </w:pPr>
            <w:r w:rsidRPr="00961DC5">
              <w:t>24</w:t>
            </w:r>
          </w:p>
        </w:tc>
        <w:tc>
          <w:tcPr>
            <w:tcW w:w="225" w:type="pct"/>
          </w:tcPr>
          <w:p w:rsidR="00294914" w:rsidRDefault="00294914" w:rsidP="00467A88">
            <w:pPr>
              <w:jc w:val="center"/>
            </w:pPr>
            <w:r w:rsidRPr="00961DC5">
              <w:t>16</w:t>
            </w:r>
          </w:p>
        </w:tc>
      </w:tr>
    </w:tbl>
    <w:p w:rsidR="003C5AA9" w:rsidRDefault="003C5AA9" w:rsidP="003C5AA9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3D1B23" w:rsidRDefault="003D1B23" w:rsidP="00EE6E66">
      <w:pPr>
        <w:jc w:val="both"/>
      </w:pPr>
    </w:p>
    <w:p w:rsidR="00F93650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подготовки </w:t>
      </w:r>
      <w:r>
        <w:t>специалистов по курсу «</w:t>
      </w:r>
      <w:r w:rsidR="00294914">
        <w:t>Безопасность и охрана труда</w:t>
      </w:r>
      <w:r>
        <w:t xml:space="preserve">» </w:t>
      </w:r>
      <w:r>
        <w:rPr>
          <w:bCs/>
        </w:rPr>
        <w:t xml:space="preserve">между Заказчиком и Исполнителем подписывается </w:t>
      </w:r>
      <w:proofErr w:type="gramStart"/>
      <w:r>
        <w:rPr>
          <w:bCs/>
        </w:rPr>
        <w:t>Акт  оказанных</w:t>
      </w:r>
      <w:proofErr w:type="gramEnd"/>
      <w:r>
        <w:rPr>
          <w:bCs/>
        </w:rPr>
        <w:t xml:space="preserve"> услуг в двух экземплярах.</w:t>
      </w:r>
    </w:p>
    <w:p w:rsidR="0071121F" w:rsidRDefault="0071121F" w:rsidP="00EE6E66">
      <w:pPr>
        <w:jc w:val="both"/>
        <w:rPr>
          <w:bCs/>
        </w:rPr>
      </w:pPr>
    </w:p>
    <w:p w:rsidR="001034ED" w:rsidRDefault="001034ED" w:rsidP="001034ED">
      <w:pPr>
        <w:jc w:val="both"/>
        <w:rPr>
          <w:bCs/>
        </w:rPr>
      </w:pPr>
      <w:r>
        <w:rPr>
          <w:bCs/>
        </w:rPr>
        <w:t>Требование к контрагенту:</w:t>
      </w:r>
    </w:p>
    <w:p w:rsidR="001034ED" w:rsidRDefault="001034ED" w:rsidP="001034ED">
      <w:pPr>
        <w:jc w:val="both"/>
        <w:rPr>
          <w:bCs/>
        </w:rPr>
      </w:pPr>
      <w:r>
        <w:rPr>
          <w:bCs/>
        </w:rPr>
        <w:tab/>
      </w:r>
      <w:r w:rsidRPr="00CB7284">
        <w:rPr>
          <w:bCs/>
        </w:rPr>
        <w:t>Уровень образования</w:t>
      </w:r>
      <w:r>
        <w:rPr>
          <w:bCs/>
        </w:rPr>
        <w:t>:</w:t>
      </w:r>
      <w:r w:rsidRPr="00CB7284">
        <w:rPr>
          <w:bCs/>
        </w:rPr>
        <w:tab/>
        <w:t>Высшее</w:t>
      </w:r>
      <w:r>
        <w:rPr>
          <w:bCs/>
        </w:rPr>
        <w:t xml:space="preserve"> </w:t>
      </w:r>
    </w:p>
    <w:p w:rsidR="001034ED" w:rsidRDefault="001034ED" w:rsidP="001034ED">
      <w:pPr>
        <w:jc w:val="both"/>
        <w:rPr>
          <w:bCs/>
        </w:rPr>
      </w:pPr>
      <w:r w:rsidRPr="00CB7284">
        <w:rPr>
          <w:bCs/>
        </w:rPr>
        <w:t>•</w:t>
      </w:r>
      <w:r w:rsidRPr="00CB7284">
        <w:rPr>
          <w:bCs/>
        </w:rPr>
        <w:tab/>
        <w:t>Опыт проведения обучающих мероприятий в учебном центре или высшего образования и/или технического и профессионального образования</w:t>
      </w:r>
      <w:r>
        <w:rPr>
          <w:bCs/>
        </w:rPr>
        <w:t xml:space="preserve"> в области безопасности и охраны труда. </w:t>
      </w:r>
      <w:r w:rsidRPr="00630FFD">
        <w:rPr>
          <w:bCs/>
        </w:rPr>
        <w:t>Наличие</w:t>
      </w:r>
      <w:r>
        <w:rPr>
          <w:bCs/>
        </w:rPr>
        <w:t xml:space="preserve"> сертификата по безопасности и охрана труда.  </w:t>
      </w: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AD308B" w:rsidRDefault="00AD308B" w:rsidP="00E968D3">
      <w:pPr>
        <w:ind w:left="397"/>
        <w:rPr>
          <w:b/>
        </w:rPr>
      </w:pPr>
      <w:r>
        <w:rPr>
          <w:b/>
        </w:rPr>
        <w:t xml:space="preserve">Старший преподаватель ООПП </w:t>
      </w:r>
    </w:p>
    <w:p w:rsidR="00E968D3" w:rsidRPr="00DD5FED" w:rsidRDefault="00AD308B" w:rsidP="00E968D3">
      <w:pPr>
        <w:ind w:left="397"/>
        <w:rPr>
          <w:b/>
        </w:rPr>
      </w:pPr>
      <w:r w:rsidRPr="00AD308B">
        <w:rPr>
          <w:b/>
        </w:rPr>
        <w:t>филиала «КЯУ» ТОО «ИВТ»</w:t>
      </w:r>
      <w:r>
        <w:rPr>
          <w:b/>
        </w:rPr>
        <w:t xml:space="preserve"> </w:t>
      </w:r>
      <w:r w:rsidR="00E968D3" w:rsidRPr="00DD5FED">
        <w:rPr>
          <w:b/>
        </w:rPr>
        <w:tab/>
      </w:r>
      <w:r w:rsidR="00E968D3" w:rsidRPr="00DD5FED">
        <w:rPr>
          <w:b/>
        </w:rPr>
        <w:tab/>
      </w:r>
      <w:r w:rsidR="00E968D3" w:rsidRPr="00DD5FED">
        <w:rPr>
          <w:b/>
        </w:rPr>
        <w:tab/>
      </w:r>
      <w:r w:rsidR="00E968D3" w:rsidRPr="00DD5FED">
        <w:rPr>
          <w:b/>
        </w:rPr>
        <w:tab/>
      </w:r>
      <w:r w:rsidR="00E968D3" w:rsidRPr="00DD5FED">
        <w:rPr>
          <w:b/>
        </w:rPr>
        <w:tab/>
      </w:r>
      <w:r>
        <w:rPr>
          <w:b/>
        </w:rPr>
        <w:t xml:space="preserve">       Емжаев Ж.Б.</w:t>
      </w:r>
    </w:p>
    <w:p w:rsidR="00E968D3" w:rsidRDefault="00E968D3" w:rsidP="00E968D3">
      <w:pPr>
        <w:ind w:left="397"/>
      </w:pPr>
    </w:p>
    <w:p w:rsidR="00E968D3" w:rsidRDefault="00E968D3" w:rsidP="00E968D3">
      <w:pPr>
        <w:ind w:left="397"/>
      </w:pPr>
    </w:p>
    <w:p w:rsidR="008E77B3" w:rsidRPr="0076588D" w:rsidRDefault="008E77B3" w:rsidP="003B7421">
      <w:pPr>
        <w:jc w:val="both"/>
        <w:rPr>
          <w:b/>
        </w:rPr>
      </w:pPr>
    </w:p>
    <w:p w:rsidR="0071121F" w:rsidRDefault="0071121F" w:rsidP="008E77B3">
      <w:pPr>
        <w:ind w:left="397"/>
      </w:pPr>
    </w:p>
    <w:sectPr w:rsidR="0071121F" w:rsidSect="003D1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AE" w:rsidRDefault="00F97DAE" w:rsidP="00294914">
      <w:r>
        <w:separator/>
      </w:r>
    </w:p>
  </w:endnote>
  <w:endnote w:type="continuationSeparator" w:id="0">
    <w:p w:rsidR="00F97DAE" w:rsidRDefault="00F97DAE" w:rsidP="0029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AE" w:rsidRDefault="00F97DAE" w:rsidP="00294914">
      <w:r>
        <w:separator/>
      </w:r>
    </w:p>
  </w:footnote>
  <w:footnote w:type="continuationSeparator" w:id="0">
    <w:p w:rsidR="00F97DAE" w:rsidRDefault="00F97DAE" w:rsidP="00294914">
      <w:r>
        <w:continuationSeparator/>
      </w:r>
    </w:p>
  </w:footnote>
  <w:footnote w:id="1">
    <w:p w:rsidR="00294914" w:rsidRPr="00F1022A" w:rsidRDefault="00294914" w:rsidP="00294914">
      <w:pPr>
        <w:pStyle w:val="af4"/>
        <w:shd w:val="clear" w:color="auto" w:fill="FFFFFF"/>
        <w:jc w:val="both"/>
      </w:pPr>
      <w:r>
        <w:rPr>
          <w:rStyle w:val="af7"/>
        </w:rPr>
        <w:footnoteRef/>
      </w:r>
      <w:r>
        <w:t xml:space="preserve"> </w:t>
      </w:r>
      <w:r w:rsidRPr="00F1022A">
        <w:t>Здесь, под субъектом предпринимательства в зависимости от среднегодовой численности работников понимаются следующие категории</w:t>
      </w:r>
      <w:r>
        <w:t>:</w:t>
      </w:r>
    </w:p>
    <w:p w:rsidR="00294914" w:rsidRPr="00C134D9" w:rsidRDefault="00294914" w:rsidP="00294914">
      <w:pPr>
        <w:pStyle w:val="af4"/>
        <w:shd w:val="clear" w:color="auto" w:fill="FFFFFF"/>
        <w:jc w:val="both"/>
      </w:pPr>
      <w:r w:rsidRPr="00F1022A">
        <w:t>-</w:t>
      </w:r>
      <w:r w:rsidRPr="00C134D9">
        <w:t>   субъекты малого предпринимательства, в том числе субъекты микропредпринимательства</w:t>
      </w:r>
      <w:r w:rsidRPr="00F1022A">
        <w:t xml:space="preserve"> - </w:t>
      </w:r>
      <w:r w:rsidRPr="00C134D9">
        <w:t>индивидуальные предприниматели без образования юридического лица и юридические лица, осуществляющие предпринимательство, со среднегодовой численностью работников не более ста человек</w:t>
      </w:r>
      <w:r w:rsidRPr="00F1022A">
        <w:t>;</w:t>
      </w:r>
    </w:p>
    <w:p w:rsidR="00294914" w:rsidRPr="00F1022A" w:rsidRDefault="00294914" w:rsidP="00294914">
      <w:pPr>
        <w:pStyle w:val="af4"/>
        <w:shd w:val="clear" w:color="auto" w:fill="FFFFFF"/>
        <w:jc w:val="both"/>
      </w:pPr>
      <w:r w:rsidRPr="00F1022A">
        <w:t>-</w:t>
      </w:r>
      <w:r w:rsidRPr="00C134D9">
        <w:t>     субъекты среднего предпринимательства</w:t>
      </w:r>
      <w:r w:rsidRPr="00F1022A">
        <w:t xml:space="preserve"> - индивидуальные предприниматели и юридические лица, осуществляющие предпринимательство со среднегодовой численностью работников менее двухсот пятидесяти человек, но более ста человек;</w:t>
      </w:r>
    </w:p>
    <w:p w:rsidR="00294914" w:rsidRPr="00C134D9" w:rsidRDefault="00294914" w:rsidP="00294914">
      <w:pPr>
        <w:pStyle w:val="af4"/>
        <w:shd w:val="clear" w:color="auto" w:fill="FFFFFF"/>
        <w:jc w:val="both"/>
      </w:pPr>
      <w:r w:rsidRPr="00F1022A">
        <w:t>-</w:t>
      </w:r>
      <w:r w:rsidRPr="00C134D9">
        <w:t xml:space="preserve"> субъекты крупного предпринимательства</w:t>
      </w:r>
      <w:r w:rsidRPr="00F1022A">
        <w:t xml:space="preserve"> - индивидуальные предприниматели и юридические лица, осуществляющие предпринимательство со среднегодовой численностью работников более двухсот пятидесяти человек.</w:t>
      </w:r>
    </w:p>
    <w:p w:rsidR="00294914" w:rsidRDefault="00294914" w:rsidP="00294914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F265E8"/>
    <w:multiLevelType w:val="hybridMultilevel"/>
    <w:tmpl w:val="71FC31C6"/>
    <w:lvl w:ilvl="0" w:tplc="A394F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C7C6F"/>
    <w:multiLevelType w:val="hybridMultilevel"/>
    <w:tmpl w:val="1F64A97A"/>
    <w:lvl w:ilvl="0" w:tplc="F8685BD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5D530413"/>
    <w:multiLevelType w:val="hybridMultilevel"/>
    <w:tmpl w:val="0C1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2"/>
  </w:num>
  <w:num w:numId="5">
    <w:abstractNumId w:val="15"/>
  </w:num>
  <w:num w:numId="6">
    <w:abstractNumId w:val="21"/>
  </w:num>
  <w:num w:numId="7">
    <w:abstractNumId w:val="14"/>
  </w:num>
  <w:num w:numId="8">
    <w:abstractNumId w:val="13"/>
  </w:num>
  <w:num w:numId="9">
    <w:abstractNumId w:val="23"/>
  </w:num>
  <w:num w:numId="10">
    <w:abstractNumId w:val="24"/>
  </w:num>
  <w:num w:numId="11">
    <w:abstractNumId w:val="26"/>
  </w:num>
  <w:num w:numId="12">
    <w:abstractNumId w:val="4"/>
  </w:num>
  <w:num w:numId="13">
    <w:abstractNumId w:val="9"/>
  </w:num>
  <w:num w:numId="14">
    <w:abstractNumId w:val="27"/>
  </w:num>
  <w:num w:numId="15">
    <w:abstractNumId w:val="10"/>
  </w:num>
  <w:num w:numId="16">
    <w:abstractNumId w:val="28"/>
  </w:num>
  <w:num w:numId="17">
    <w:abstractNumId w:val="0"/>
  </w:num>
  <w:num w:numId="18">
    <w:abstractNumId w:val="19"/>
  </w:num>
  <w:num w:numId="19">
    <w:abstractNumId w:val="18"/>
  </w:num>
  <w:num w:numId="20">
    <w:abstractNumId w:val="12"/>
  </w:num>
  <w:num w:numId="21">
    <w:abstractNumId w:val="23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0"/>
  </w:num>
  <w:num w:numId="27">
    <w:abstractNumId w:val="17"/>
  </w:num>
  <w:num w:numId="28">
    <w:abstractNumId w:val="5"/>
  </w:num>
  <w:num w:numId="29">
    <w:abstractNumId w:val="3"/>
  </w:num>
  <w:num w:numId="30">
    <w:abstractNumId w:val="16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4ED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4914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C462A"/>
    <w:rsid w:val="003C5AA9"/>
    <w:rsid w:val="003D1B23"/>
    <w:rsid w:val="003E20DD"/>
    <w:rsid w:val="003E77A6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9318C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730DD"/>
    <w:rsid w:val="007920FA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D308B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2398D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D0756"/>
    <w:rsid w:val="00DD0B4A"/>
    <w:rsid w:val="00DF207E"/>
    <w:rsid w:val="00E02422"/>
    <w:rsid w:val="00E07B06"/>
    <w:rsid w:val="00E13A62"/>
    <w:rsid w:val="00E15950"/>
    <w:rsid w:val="00E1606A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97DAE"/>
    <w:rsid w:val="00FA3D29"/>
    <w:rsid w:val="00FB1756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DAA26-56A7-48FE-8084-B5A917D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4">
    <w:name w:val="No Spacing"/>
    <w:uiPriority w:val="1"/>
    <w:qFormat/>
    <w:rsid w:val="003C5AA9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note text"/>
    <w:basedOn w:val="a"/>
    <w:link w:val="af6"/>
    <w:rsid w:val="00294914"/>
    <w:rPr>
      <w:color w:val="000000"/>
      <w:sz w:val="20"/>
      <w:szCs w:val="20"/>
    </w:rPr>
  </w:style>
  <w:style w:type="character" w:customStyle="1" w:styleId="af6">
    <w:name w:val="Текст сноски Знак"/>
    <w:basedOn w:val="a0"/>
    <w:link w:val="af5"/>
    <w:rsid w:val="00294914"/>
    <w:rPr>
      <w:color w:val="000000"/>
    </w:rPr>
  </w:style>
  <w:style w:type="character" w:styleId="af7">
    <w:name w:val="footnote reference"/>
    <w:rsid w:val="00294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Есимова Бибикуль</cp:lastModifiedBy>
  <cp:revision>2</cp:revision>
  <cp:lastPrinted>2021-11-18T12:56:00Z</cp:lastPrinted>
  <dcterms:created xsi:type="dcterms:W3CDTF">2024-04-10T03:12:00Z</dcterms:created>
  <dcterms:modified xsi:type="dcterms:W3CDTF">2024-04-10T03:12:00Z</dcterms:modified>
</cp:coreProperties>
</file>