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8F7" w:rsidRPr="005168F7" w:rsidRDefault="005168F7" w:rsidP="005168F7">
      <w:pPr>
        <w:spacing w:after="0" w:line="240" w:lineRule="auto"/>
        <w:jc w:val="center"/>
        <w:rPr>
          <w:rFonts w:ascii="Times New Roman" w:eastAsiaTheme="minorEastAsia" w:hAnsi="Times New Roman" w:cs="Times New Roman"/>
          <w:b/>
          <w:sz w:val="24"/>
          <w:szCs w:val="24"/>
        </w:rPr>
      </w:pPr>
      <w:r w:rsidRPr="005168F7">
        <w:rPr>
          <w:rFonts w:ascii="Times New Roman" w:eastAsiaTheme="minorEastAsia" w:hAnsi="Times New Roman" w:cs="Times New Roman"/>
          <w:b/>
          <w:sz w:val="24"/>
          <w:szCs w:val="24"/>
        </w:rPr>
        <w:t>Техническое задание</w:t>
      </w:r>
    </w:p>
    <w:p w:rsidR="005168F7" w:rsidRDefault="005168F7" w:rsidP="005168F7">
      <w:pPr>
        <w:pStyle w:val="msonormalmrcssattr"/>
        <w:shd w:val="clear" w:color="auto" w:fill="FFFFFF"/>
        <w:spacing w:before="0" w:beforeAutospacing="0" w:after="0" w:afterAutospacing="0"/>
        <w:jc w:val="center"/>
        <w:rPr>
          <w:rFonts w:eastAsiaTheme="minorEastAsia"/>
        </w:rPr>
      </w:pPr>
      <w:proofErr w:type="gramStart"/>
      <w:r>
        <w:rPr>
          <w:bCs/>
        </w:rPr>
        <w:t>на</w:t>
      </w:r>
      <w:proofErr w:type="gramEnd"/>
      <w:r w:rsidRPr="00736E1D">
        <w:rPr>
          <w:bCs/>
        </w:rPr>
        <w:t xml:space="preserve"> обучени</w:t>
      </w:r>
      <w:r>
        <w:rPr>
          <w:bCs/>
        </w:rPr>
        <w:t>е</w:t>
      </w:r>
      <w:r w:rsidRPr="00736E1D">
        <w:rPr>
          <w:bCs/>
        </w:rPr>
        <w:t xml:space="preserve"> </w:t>
      </w:r>
      <w:r>
        <w:rPr>
          <w:bCs/>
        </w:rPr>
        <w:t>по</w:t>
      </w:r>
      <w:r w:rsidRPr="00736E1D">
        <w:rPr>
          <w:bCs/>
        </w:rPr>
        <w:t xml:space="preserve"> тем</w:t>
      </w:r>
      <w:r>
        <w:rPr>
          <w:bCs/>
        </w:rPr>
        <w:t>е</w:t>
      </w:r>
      <w:r w:rsidRPr="00736E1D">
        <w:rPr>
          <w:bCs/>
        </w:rPr>
        <w:t xml:space="preserve"> </w:t>
      </w:r>
      <w:r>
        <w:t>«</w:t>
      </w:r>
      <w:r w:rsidR="00291DA9" w:rsidRPr="006E3B91">
        <w:rPr>
          <w:b/>
        </w:rPr>
        <w:t xml:space="preserve">Ключевые проблемы </w:t>
      </w:r>
      <w:proofErr w:type="spellStart"/>
      <w:r w:rsidR="00291DA9" w:rsidRPr="006E3B91">
        <w:rPr>
          <w:b/>
        </w:rPr>
        <w:t>геотехнологии</w:t>
      </w:r>
      <w:proofErr w:type="spellEnd"/>
      <w:r w:rsidR="00291DA9" w:rsidRPr="006E3B91">
        <w:rPr>
          <w:b/>
        </w:rPr>
        <w:t xml:space="preserve"> при ПСВ урана в начале </w:t>
      </w:r>
      <w:r w:rsidR="00291DA9" w:rsidRPr="006E3B91">
        <w:rPr>
          <w:b/>
          <w:lang w:val="kk-KZ"/>
        </w:rPr>
        <w:t xml:space="preserve">XXI </w:t>
      </w:r>
      <w:r w:rsidR="00291DA9" w:rsidRPr="006E3B91">
        <w:rPr>
          <w:b/>
        </w:rPr>
        <w:t>века</w:t>
      </w:r>
      <w:r>
        <w:rPr>
          <w:rFonts w:eastAsiaTheme="minorEastAsia"/>
        </w:rPr>
        <w:t>»</w:t>
      </w:r>
    </w:p>
    <w:p w:rsidR="00202DC3" w:rsidRDefault="005168F7" w:rsidP="005168F7">
      <w:pPr>
        <w:pStyle w:val="msonormalmrcssattr"/>
        <w:shd w:val="clear" w:color="auto" w:fill="FFFFFF"/>
        <w:spacing w:before="0" w:beforeAutospacing="0" w:after="0" w:afterAutospacing="0"/>
        <w:jc w:val="center"/>
        <w:rPr>
          <w:bCs/>
        </w:rPr>
      </w:pPr>
      <w:proofErr w:type="spellStart"/>
      <w:r>
        <w:rPr>
          <w:bCs/>
        </w:rPr>
        <w:t>г.Алматы</w:t>
      </w:r>
      <w:proofErr w:type="spellEnd"/>
      <w:r>
        <w:rPr>
          <w:bCs/>
        </w:rPr>
        <w:t xml:space="preserve">, </w:t>
      </w:r>
      <w:proofErr w:type="spellStart"/>
      <w:r>
        <w:rPr>
          <w:bCs/>
        </w:rPr>
        <w:t>Богенбай</w:t>
      </w:r>
      <w:proofErr w:type="spellEnd"/>
      <w:r>
        <w:rPr>
          <w:bCs/>
        </w:rPr>
        <w:t xml:space="preserve"> Батыра 168 (офлайн)</w:t>
      </w:r>
    </w:p>
    <w:p w:rsidR="00227014" w:rsidRDefault="00227014" w:rsidP="005168F7">
      <w:pPr>
        <w:pStyle w:val="msonormalmrcssattr"/>
        <w:shd w:val="clear" w:color="auto" w:fill="FFFFFF"/>
        <w:spacing w:before="0" w:beforeAutospacing="0" w:after="0" w:afterAutospacing="0"/>
        <w:jc w:val="center"/>
        <w:rPr>
          <w:bCs/>
        </w:rPr>
      </w:pPr>
    </w:p>
    <w:tbl>
      <w:tblPr>
        <w:tblStyle w:val="a6"/>
        <w:tblW w:w="10060" w:type="dxa"/>
        <w:tblLayout w:type="fixed"/>
        <w:tblLook w:val="04A0" w:firstRow="1" w:lastRow="0" w:firstColumn="1" w:lastColumn="0" w:noHBand="0" w:noVBand="1"/>
      </w:tblPr>
      <w:tblGrid>
        <w:gridCol w:w="704"/>
        <w:gridCol w:w="8080"/>
        <w:gridCol w:w="1276"/>
      </w:tblGrid>
      <w:tr w:rsidR="005168F7" w:rsidRPr="00440F48" w:rsidTr="00440F48">
        <w:tc>
          <w:tcPr>
            <w:tcW w:w="704" w:type="dxa"/>
          </w:tcPr>
          <w:p w:rsidR="005168F7" w:rsidRPr="00440F48" w:rsidRDefault="005168F7" w:rsidP="005168F7">
            <w:pPr>
              <w:rPr>
                <w:rFonts w:ascii="Times New Roman" w:hAnsi="Times New Roman" w:cs="Times New Roman"/>
                <w:b/>
                <w:sz w:val="24"/>
                <w:szCs w:val="24"/>
              </w:rPr>
            </w:pPr>
            <w:r w:rsidRPr="00440F48">
              <w:rPr>
                <w:rFonts w:ascii="Times New Roman" w:hAnsi="Times New Roman" w:cs="Times New Roman"/>
                <w:b/>
                <w:sz w:val="24"/>
                <w:szCs w:val="24"/>
              </w:rPr>
              <w:t>№</w:t>
            </w:r>
          </w:p>
        </w:tc>
        <w:tc>
          <w:tcPr>
            <w:tcW w:w="8080" w:type="dxa"/>
          </w:tcPr>
          <w:p w:rsidR="005168F7" w:rsidRPr="00440F48" w:rsidRDefault="005168F7" w:rsidP="005168F7">
            <w:pPr>
              <w:ind w:left="177" w:hanging="177"/>
              <w:jc w:val="center"/>
              <w:rPr>
                <w:rFonts w:ascii="Times New Roman" w:hAnsi="Times New Roman" w:cs="Times New Roman"/>
                <w:b/>
                <w:sz w:val="24"/>
                <w:szCs w:val="24"/>
              </w:rPr>
            </w:pPr>
            <w:r w:rsidRPr="00440F48">
              <w:rPr>
                <w:rFonts w:ascii="Times New Roman" w:hAnsi="Times New Roman" w:cs="Times New Roman"/>
                <w:b/>
                <w:sz w:val="24"/>
                <w:szCs w:val="24"/>
              </w:rPr>
              <w:t>Перечень выполняемых работ</w:t>
            </w:r>
          </w:p>
        </w:tc>
        <w:tc>
          <w:tcPr>
            <w:tcW w:w="1276" w:type="dxa"/>
          </w:tcPr>
          <w:p w:rsidR="005168F7" w:rsidRPr="00440F48" w:rsidRDefault="005168F7" w:rsidP="00440F48">
            <w:pPr>
              <w:jc w:val="center"/>
              <w:rPr>
                <w:rFonts w:ascii="Times New Roman" w:hAnsi="Times New Roman" w:cs="Times New Roman"/>
                <w:b/>
                <w:sz w:val="24"/>
                <w:szCs w:val="24"/>
              </w:rPr>
            </w:pPr>
            <w:r w:rsidRPr="00440F48">
              <w:rPr>
                <w:rFonts w:ascii="Times New Roman" w:hAnsi="Times New Roman" w:cs="Times New Roman"/>
                <w:b/>
                <w:sz w:val="24"/>
                <w:szCs w:val="24"/>
              </w:rPr>
              <w:t>Продолж</w:t>
            </w:r>
            <w:r w:rsidR="00A546B4" w:rsidRPr="00440F48">
              <w:rPr>
                <w:rFonts w:ascii="Times New Roman" w:hAnsi="Times New Roman" w:cs="Times New Roman"/>
                <w:b/>
                <w:sz w:val="24"/>
                <w:szCs w:val="24"/>
              </w:rPr>
              <w:t>.</w:t>
            </w:r>
            <w:r w:rsidRPr="00440F48">
              <w:rPr>
                <w:rFonts w:ascii="Times New Roman" w:hAnsi="Times New Roman" w:cs="Times New Roman"/>
                <w:b/>
                <w:sz w:val="24"/>
                <w:szCs w:val="24"/>
              </w:rPr>
              <w:t xml:space="preserve"> </w:t>
            </w:r>
            <w:proofErr w:type="spellStart"/>
            <w:r w:rsidR="00440F48">
              <w:rPr>
                <w:rFonts w:ascii="Times New Roman" w:hAnsi="Times New Roman" w:cs="Times New Roman"/>
                <w:b/>
                <w:sz w:val="24"/>
                <w:szCs w:val="24"/>
              </w:rPr>
              <w:t>ак.</w:t>
            </w:r>
            <w:r w:rsidRPr="00440F48">
              <w:rPr>
                <w:rFonts w:ascii="Times New Roman" w:hAnsi="Times New Roman" w:cs="Times New Roman"/>
                <w:b/>
                <w:sz w:val="24"/>
                <w:szCs w:val="24"/>
              </w:rPr>
              <w:t>час</w:t>
            </w:r>
            <w:proofErr w:type="spellEnd"/>
          </w:p>
        </w:tc>
      </w:tr>
      <w:tr w:rsidR="005168F7" w:rsidRPr="00440F48" w:rsidTr="00440F48">
        <w:tc>
          <w:tcPr>
            <w:tcW w:w="704" w:type="dxa"/>
          </w:tcPr>
          <w:p w:rsidR="005168F7" w:rsidRPr="00440F48" w:rsidRDefault="005168F7" w:rsidP="00440F48">
            <w:pPr>
              <w:rPr>
                <w:rFonts w:ascii="Times New Roman" w:hAnsi="Times New Roman" w:cs="Times New Roman"/>
                <w:b/>
                <w:sz w:val="24"/>
                <w:szCs w:val="24"/>
              </w:rPr>
            </w:pPr>
            <w:r w:rsidRPr="00440F48">
              <w:rPr>
                <w:rFonts w:ascii="Times New Roman" w:hAnsi="Times New Roman" w:cs="Times New Roman"/>
                <w:b/>
                <w:sz w:val="24"/>
                <w:szCs w:val="24"/>
              </w:rPr>
              <w:t>1</w:t>
            </w:r>
          </w:p>
        </w:tc>
        <w:tc>
          <w:tcPr>
            <w:tcW w:w="8080" w:type="dxa"/>
          </w:tcPr>
          <w:p w:rsidR="005168F7" w:rsidRPr="00440F48" w:rsidRDefault="005168F7" w:rsidP="005168F7">
            <w:pPr>
              <w:spacing w:line="259" w:lineRule="auto"/>
              <w:rPr>
                <w:rFonts w:ascii="Times New Roman" w:hAnsi="Times New Roman" w:cs="Times New Roman"/>
                <w:b/>
                <w:sz w:val="24"/>
                <w:szCs w:val="24"/>
              </w:rPr>
            </w:pPr>
            <w:r w:rsidRPr="00440F48">
              <w:rPr>
                <w:rFonts w:ascii="Times New Roman" w:hAnsi="Times New Roman" w:cs="Times New Roman"/>
                <w:b/>
                <w:sz w:val="24"/>
                <w:szCs w:val="24"/>
              </w:rPr>
              <w:t xml:space="preserve">Подготовка </w:t>
            </w:r>
            <w:r w:rsidRPr="00440F48">
              <w:rPr>
                <w:rFonts w:ascii="Times New Roman" w:hAnsi="Times New Roman" w:cs="Times New Roman"/>
                <w:sz w:val="24"/>
                <w:szCs w:val="24"/>
              </w:rPr>
              <w:t>раздаточного, лекционного и оценочных материалов; подготовка презентации.</w:t>
            </w:r>
          </w:p>
        </w:tc>
        <w:tc>
          <w:tcPr>
            <w:tcW w:w="1276" w:type="dxa"/>
          </w:tcPr>
          <w:p w:rsidR="005168F7" w:rsidRPr="00440F48" w:rsidRDefault="00440F48" w:rsidP="005168F7">
            <w:pPr>
              <w:jc w:val="center"/>
              <w:rPr>
                <w:rFonts w:ascii="Times New Roman" w:hAnsi="Times New Roman" w:cs="Times New Roman"/>
                <w:b/>
                <w:sz w:val="24"/>
                <w:szCs w:val="24"/>
              </w:rPr>
            </w:pPr>
            <w:r w:rsidRPr="00440F48">
              <w:rPr>
                <w:rFonts w:ascii="Times New Roman" w:hAnsi="Times New Roman" w:cs="Times New Roman"/>
                <w:b/>
                <w:sz w:val="24"/>
                <w:szCs w:val="24"/>
              </w:rPr>
              <w:t>24</w:t>
            </w:r>
          </w:p>
        </w:tc>
      </w:tr>
      <w:tr w:rsidR="005168F7" w:rsidRPr="00440F48" w:rsidTr="00440F48">
        <w:tc>
          <w:tcPr>
            <w:tcW w:w="704" w:type="dxa"/>
          </w:tcPr>
          <w:p w:rsidR="005168F7" w:rsidRPr="00440F48" w:rsidRDefault="005168F7" w:rsidP="00440F48">
            <w:pPr>
              <w:rPr>
                <w:rFonts w:ascii="Times New Roman" w:hAnsi="Times New Roman" w:cs="Times New Roman"/>
                <w:b/>
                <w:sz w:val="24"/>
                <w:szCs w:val="24"/>
              </w:rPr>
            </w:pPr>
            <w:r w:rsidRPr="00440F48">
              <w:rPr>
                <w:rFonts w:ascii="Times New Roman" w:hAnsi="Times New Roman" w:cs="Times New Roman"/>
                <w:b/>
                <w:sz w:val="24"/>
                <w:szCs w:val="24"/>
              </w:rPr>
              <w:t>2</w:t>
            </w:r>
          </w:p>
        </w:tc>
        <w:tc>
          <w:tcPr>
            <w:tcW w:w="8080" w:type="dxa"/>
          </w:tcPr>
          <w:p w:rsidR="005168F7" w:rsidRPr="00440F48" w:rsidRDefault="005168F7" w:rsidP="005168F7">
            <w:pPr>
              <w:rPr>
                <w:rFonts w:ascii="Times New Roman" w:hAnsi="Times New Roman" w:cs="Times New Roman"/>
                <w:b/>
                <w:sz w:val="24"/>
                <w:szCs w:val="24"/>
              </w:rPr>
            </w:pPr>
            <w:r w:rsidRPr="00440F48">
              <w:rPr>
                <w:rFonts w:ascii="Times New Roman" w:hAnsi="Times New Roman" w:cs="Times New Roman"/>
                <w:b/>
                <w:sz w:val="24"/>
                <w:szCs w:val="24"/>
              </w:rPr>
              <w:t xml:space="preserve">Проведение обучения работников </w:t>
            </w:r>
            <w:r w:rsidRPr="00440F48">
              <w:rPr>
                <w:rFonts w:ascii="Times New Roman" w:hAnsi="Times New Roman" w:cs="Times New Roman"/>
                <w:sz w:val="24"/>
                <w:szCs w:val="24"/>
              </w:rPr>
              <w:t>по теме: «</w:t>
            </w:r>
            <w:r w:rsidR="00291DA9" w:rsidRPr="006E3B91">
              <w:rPr>
                <w:rFonts w:ascii="Times New Roman" w:hAnsi="Times New Roman" w:cs="Times New Roman"/>
                <w:b/>
                <w:sz w:val="24"/>
                <w:szCs w:val="24"/>
              </w:rPr>
              <w:t xml:space="preserve">Ключевые проблемы </w:t>
            </w:r>
            <w:proofErr w:type="spellStart"/>
            <w:r w:rsidR="00291DA9" w:rsidRPr="006E3B91">
              <w:rPr>
                <w:rFonts w:ascii="Times New Roman" w:hAnsi="Times New Roman" w:cs="Times New Roman"/>
                <w:b/>
                <w:sz w:val="24"/>
                <w:szCs w:val="24"/>
              </w:rPr>
              <w:t>геотехнологии</w:t>
            </w:r>
            <w:proofErr w:type="spellEnd"/>
            <w:r w:rsidR="00291DA9" w:rsidRPr="006E3B91">
              <w:rPr>
                <w:rFonts w:ascii="Times New Roman" w:hAnsi="Times New Roman" w:cs="Times New Roman"/>
                <w:b/>
                <w:sz w:val="24"/>
                <w:szCs w:val="24"/>
              </w:rPr>
              <w:t xml:space="preserve"> при ПСВ урана в начале </w:t>
            </w:r>
            <w:r w:rsidR="00291DA9" w:rsidRPr="006E3B91">
              <w:rPr>
                <w:rFonts w:ascii="Times New Roman" w:hAnsi="Times New Roman" w:cs="Times New Roman"/>
                <w:b/>
                <w:sz w:val="24"/>
                <w:szCs w:val="24"/>
                <w:lang w:val="kk-KZ"/>
              </w:rPr>
              <w:t xml:space="preserve">XXI </w:t>
            </w:r>
            <w:r w:rsidR="00291DA9" w:rsidRPr="006E3B91">
              <w:rPr>
                <w:rFonts w:ascii="Times New Roman" w:hAnsi="Times New Roman" w:cs="Times New Roman"/>
                <w:b/>
                <w:sz w:val="24"/>
                <w:szCs w:val="24"/>
              </w:rPr>
              <w:t>века</w:t>
            </w:r>
            <w:r w:rsidRPr="00440F48">
              <w:rPr>
                <w:rFonts w:ascii="Times New Roman" w:eastAsiaTheme="minorEastAsia" w:hAnsi="Times New Roman" w:cs="Times New Roman"/>
                <w:sz w:val="24"/>
                <w:szCs w:val="24"/>
              </w:rPr>
              <w:t>»</w:t>
            </w:r>
          </w:p>
        </w:tc>
        <w:tc>
          <w:tcPr>
            <w:tcW w:w="1276" w:type="dxa"/>
          </w:tcPr>
          <w:p w:rsidR="005168F7" w:rsidRPr="00440F48" w:rsidRDefault="00440F48" w:rsidP="005168F7">
            <w:pPr>
              <w:jc w:val="center"/>
              <w:rPr>
                <w:rFonts w:ascii="Times New Roman" w:hAnsi="Times New Roman" w:cs="Times New Roman"/>
                <w:b/>
                <w:sz w:val="24"/>
                <w:szCs w:val="24"/>
              </w:rPr>
            </w:pPr>
            <w:r w:rsidRPr="00440F48">
              <w:rPr>
                <w:rFonts w:ascii="Times New Roman" w:hAnsi="Times New Roman" w:cs="Times New Roman"/>
                <w:b/>
                <w:sz w:val="24"/>
                <w:szCs w:val="24"/>
              </w:rPr>
              <w:t>24</w:t>
            </w:r>
          </w:p>
        </w:tc>
      </w:tr>
      <w:tr w:rsidR="00440F48" w:rsidRPr="00440F48" w:rsidTr="00440F48">
        <w:tc>
          <w:tcPr>
            <w:tcW w:w="704" w:type="dxa"/>
          </w:tcPr>
          <w:p w:rsidR="00440F48" w:rsidRPr="00440F48" w:rsidRDefault="00440F48" w:rsidP="00440F48">
            <w:pPr>
              <w:rPr>
                <w:rFonts w:ascii="Times New Roman" w:hAnsi="Times New Roman" w:cs="Times New Roman"/>
                <w:b/>
                <w:sz w:val="24"/>
                <w:szCs w:val="24"/>
              </w:rPr>
            </w:pPr>
            <w:r w:rsidRPr="00440F48">
              <w:rPr>
                <w:rFonts w:ascii="Times New Roman" w:hAnsi="Times New Roman" w:cs="Times New Roman"/>
                <w:b/>
                <w:sz w:val="24"/>
                <w:szCs w:val="24"/>
              </w:rPr>
              <w:t>2.1</w:t>
            </w:r>
          </w:p>
        </w:tc>
        <w:tc>
          <w:tcPr>
            <w:tcW w:w="8080" w:type="dxa"/>
          </w:tcPr>
          <w:p w:rsidR="00440F48" w:rsidRPr="00440F48" w:rsidRDefault="00291DA9" w:rsidP="00291DA9">
            <w:pPr>
              <w:pStyle w:val="a8"/>
              <w:spacing w:line="276" w:lineRule="auto"/>
              <w:jc w:val="both"/>
              <w:rPr>
                <w:rStyle w:val="a5"/>
                <w:rFonts w:ascii="Times New Roman" w:hAnsi="Times New Roman" w:cs="Times New Roman"/>
                <w:sz w:val="24"/>
                <w:szCs w:val="24"/>
              </w:rPr>
            </w:pPr>
            <w:r w:rsidRPr="006E3B91">
              <w:rPr>
                <w:rFonts w:ascii="Times New Roman" w:hAnsi="Times New Roman" w:cs="Times New Roman"/>
                <w:b/>
                <w:sz w:val="24"/>
                <w:szCs w:val="24"/>
              </w:rPr>
              <w:t>Введение</w:t>
            </w:r>
            <w:r w:rsidRPr="006E3B91">
              <w:rPr>
                <w:rFonts w:ascii="Times New Roman" w:hAnsi="Times New Roman" w:cs="Times New Roman"/>
                <w:sz w:val="24"/>
                <w:szCs w:val="24"/>
              </w:rPr>
              <w:t xml:space="preserve"> </w:t>
            </w:r>
            <w:proofErr w:type="spellStart"/>
            <w:r w:rsidRPr="006E3B91">
              <w:rPr>
                <w:rFonts w:ascii="Times New Roman" w:hAnsi="Times New Roman" w:cs="Times New Roman"/>
                <w:sz w:val="24"/>
                <w:szCs w:val="24"/>
              </w:rPr>
              <w:t>Геотехнология</w:t>
            </w:r>
            <w:proofErr w:type="spellEnd"/>
            <w:r w:rsidRPr="006E3B91">
              <w:rPr>
                <w:rFonts w:ascii="Times New Roman" w:hAnsi="Times New Roman" w:cs="Times New Roman"/>
                <w:sz w:val="24"/>
                <w:szCs w:val="24"/>
              </w:rPr>
              <w:t xml:space="preserve"> в XXI в. Уран. Ключевые достижения и проблемы. Месторождения урана – базовая классификация. Генезис гидрогенных месторождений. Минералогия и геохимия урана. Вещественные предпосылки к технологии ПСВ. Базовые геотехнологические параметры гидрогенных месторождений урана РК.</w:t>
            </w:r>
          </w:p>
        </w:tc>
        <w:tc>
          <w:tcPr>
            <w:tcW w:w="1276" w:type="dxa"/>
          </w:tcPr>
          <w:p w:rsidR="00440F48" w:rsidRPr="00440F48" w:rsidRDefault="00291DA9" w:rsidP="00440F48">
            <w:pPr>
              <w:pStyle w:val="msonormalmrcssattr"/>
              <w:spacing w:after="0" w:afterAutospacing="0"/>
              <w:jc w:val="center"/>
              <w:rPr>
                <w:bCs/>
              </w:rPr>
            </w:pPr>
            <w:r>
              <w:rPr>
                <w:bCs/>
              </w:rPr>
              <w:t>1</w:t>
            </w:r>
          </w:p>
        </w:tc>
      </w:tr>
      <w:tr w:rsidR="00440F48" w:rsidRPr="00440F48" w:rsidTr="00440F48">
        <w:trPr>
          <w:trHeight w:val="319"/>
        </w:trPr>
        <w:tc>
          <w:tcPr>
            <w:tcW w:w="704" w:type="dxa"/>
          </w:tcPr>
          <w:p w:rsidR="00440F48" w:rsidRPr="00440F48" w:rsidRDefault="00440F48" w:rsidP="00440F48">
            <w:pPr>
              <w:rPr>
                <w:rFonts w:ascii="Times New Roman" w:hAnsi="Times New Roman" w:cs="Times New Roman"/>
                <w:b/>
                <w:sz w:val="24"/>
                <w:szCs w:val="24"/>
              </w:rPr>
            </w:pPr>
            <w:r w:rsidRPr="00440F48">
              <w:rPr>
                <w:rFonts w:ascii="Times New Roman" w:hAnsi="Times New Roman" w:cs="Times New Roman"/>
                <w:b/>
                <w:sz w:val="24"/>
                <w:szCs w:val="24"/>
              </w:rPr>
              <w:t>2.2</w:t>
            </w:r>
          </w:p>
        </w:tc>
        <w:tc>
          <w:tcPr>
            <w:tcW w:w="8080" w:type="dxa"/>
          </w:tcPr>
          <w:p w:rsidR="00440F48" w:rsidRPr="00440F48" w:rsidRDefault="00291DA9" w:rsidP="00440F48">
            <w:pPr>
              <w:pStyle w:val="a3"/>
              <w:tabs>
                <w:tab w:val="left" w:pos="0"/>
                <w:tab w:val="left" w:pos="286"/>
              </w:tabs>
              <w:spacing w:line="276" w:lineRule="auto"/>
              <w:ind w:left="7"/>
              <w:jc w:val="both"/>
              <w:rPr>
                <w:rStyle w:val="a5"/>
                <w:rFonts w:ascii="Times New Roman" w:hAnsi="Times New Roman" w:cs="Times New Roman"/>
                <w:sz w:val="24"/>
                <w:szCs w:val="24"/>
              </w:rPr>
            </w:pPr>
            <w:r w:rsidRPr="006E3B91">
              <w:rPr>
                <w:rFonts w:ascii="Times New Roman" w:hAnsi="Times New Roman" w:cs="Times New Roman"/>
                <w:b/>
                <w:sz w:val="24"/>
                <w:szCs w:val="24"/>
              </w:rPr>
              <w:t>Проблемы использования данных детальной разведки.</w:t>
            </w:r>
            <w:r w:rsidRPr="006E3B91">
              <w:rPr>
                <w:rFonts w:ascii="Times New Roman" w:hAnsi="Times New Roman" w:cs="Times New Roman"/>
                <w:sz w:val="24"/>
                <w:szCs w:val="24"/>
              </w:rPr>
              <w:t xml:space="preserve"> Результаты детальной разведки. Проблемы </w:t>
            </w:r>
            <w:proofErr w:type="spellStart"/>
            <w:r w:rsidRPr="006E3B91">
              <w:rPr>
                <w:rFonts w:ascii="Times New Roman" w:hAnsi="Times New Roman" w:cs="Times New Roman"/>
                <w:sz w:val="24"/>
                <w:szCs w:val="24"/>
              </w:rPr>
              <w:t>неподтверждения</w:t>
            </w:r>
            <w:proofErr w:type="spellEnd"/>
            <w:r w:rsidRPr="006E3B91">
              <w:rPr>
                <w:rFonts w:ascii="Times New Roman" w:hAnsi="Times New Roman" w:cs="Times New Roman"/>
                <w:sz w:val="24"/>
                <w:szCs w:val="24"/>
              </w:rPr>
              <w:t xml:space="preserve"> баланса вскрытием. Эволюция балансовых запасов. Кондиции. Разные подходы к оценке запасов в ГКЗ и международных системах (JORK, CRIRSCO). Морфология руд. Проблемные руды, включаемые в баланс в соответствии с принятыми кондициями. Вариации, неточные оценки </w:t>
            </w:r>
            <w:proofErr w:type="spellStart"/>
            <w:r w:rsidRPr="006E3B91">
              <w:rPr>
                <w:rFonts w:ascii="Times New Roman" w:hAnsi="Times New Roman" w:cs="Times New Roman"/>
                <w:sz w:val="24"/>
                <w:szCs w:val="24"/>
              </w:rPr>
              <w:t>Крр</w:t>
            </w:r>
            <w:proofErr w:type="spellEnd"/>
            <w:r w:rsidRPr="006E3B91">
              <w:rPr>
                <w:rFonts w:ascii="Times New Roman" w:hAnsi="Times New Roman" w:cs="Times New Roman"/>
                <w:sz w:val="24"/>
                <w:szCs w:val="24"/>
              </w:rPr>
              <w:t xml:space="preserve">. Недостаточность данных. </w:t>
            </w:r>
            <w:proofErr w:type="spellStart"/>
            <w:r w:rsidRPr="006E3B91">
              <w:rPr>
                <w:rFonts w:ascii="Times New Roman" w:hAnsi="Times New Roman" w:cs="Times New Roman"/>
                <w:sz w:val="24"/>
                <w:szCs w:val="24"/>
              </w:rPr>
              <w:t>Недо</w:t>
            </w:r>
            <w:proofErr w:type="spellEnd"/>
            <w:r w:rsidRPr="006E3B91">
              <w:rPr>
                <w:rFonts w:ascii="Times New Roman" w:hAnsi="Times New Roman" w:cs="Times New Roman"/>
                <w:sz w:val="24"/>
                <w:szCs w:val="24"/>
              </w:rPr>
              <w:t xml:space="preserve">- и переоценки балансовых запасов. Значение и роль </w:t>
            </w:r>
            <w:proofErr w:type="spellStart"/>
            <w:r w:rsidRPr="006E3B91">
              <w:rPr>
                <w:rFonts w:ascii="Times New Roman" w:hAnsi="Times New Roman" w:cs="Times New Roman"/>
                <w:sz w:val="24"/>
                <w:szCs w:val="24"/>
              </w:rPr>
              <w:t>эксплоразведки</w:t>
            </w:r>
            <w:proofErr w:type="spellEnd"/>
            <w:r w:rsidRPr="006E3B91">
              <w:rPr>
                <w:rFonts w:ascii="Times New Roman" w:hAnsi="Times New Roman" w:cs="Times New Roman"/>
                <w:sz w:val="24"/>
                <w:szCs w:val="24"/>
              </w:rPr>
              <w:t xml:space="preserve">. </w:t>
            </w:r>
            <w:proofErr w:type="spellStart"/>
            <w:r w:rsidRPr="006E3B91">
              <w:rPr>
                <w:rFonts w:ascii="Times New Roman" w:hAnsi="Times New Roman" w:cs="Times New Roman"/>
                <w:sz w:val="24"/>
                <w:szCs w:val="24"/>
              </w:rPr>
              <w:t>Неподтверждение</w:t>
            </w:r>
            <w:proofErr w:type="spellEnd"/>
            <w:r w:rsidRPr="006E3B91">
              <w:rPr>
                <w:rFonts w:ascii="Times New Roman" w:hAnsi="Times New Roman" w:cs="Times New Roman"/>
                <w:sz w:val="24"/>
                <w:szCs w:val="24"/>
              </w:rPr>
              <w:t xml:space="preserve"> </w:t>
            </w:r>
            <w:proofErr w:type="spellStart"/>
            <w:r w:rsidRPr="006E3B91">
              <w:rPr>
                <w:rFonts w:ascii="Times New Roman" w:hAnsi="Times New Roman" w:cs="Times New Roman"/>
                <w:sz w:val="24"/>
                <w:szCs w:val="24"/>
              </w:rPr>
              <w:t>эксплоразведкой</w:t>
            </w:r>
            <w:proofErr w:type="spellEnd"/>
            <w:r w:rsidRPr="006E3B91">
              <w:rPr>
                <w:rFonts w:ascii="Times New Roman" w:hAnsi="Times New Roman" w:cs="Times New Roman"/>
                <w:sz w:val="24"/>
                <w:szCs w:val="24"/>
              </w:rPr>
              <w:t xml:space="preserve"> рудоносности по данным ГРР и появление руд в промышленных объемах вне балансовых блоков.</w:t>
            </w:r>
          </w:p>
        </w:tc>
        <w:tc>
          <w:tcPr>
            <w:tcW w:w="1276" w:type="dxa"/>
          </w:tcPr>
          <w:p w:rsidR="00440F48" w:rsidRPr="00440F48" w:rsidRDefault="00291DA9" w:rsidP="00440F48">
            <w:pPr>
              <w:pStyle w:val="msonormalmrcssattr"/>
              <w:spacing w:after="0" w:afterAutospacing="0"/>
              <w:jc w:val="center"/>
              <w:rPr>
                <w:bCs/>
              </w:rPr>
            </w:pPr>
            <w:r>
              <w:rPr>
                <w:bCs/>
              </w:rPr>
              <w:t>5</w:t>
            </w:r>
          </w:p>
        </w:tc>
      </w:tr>
      <w:tr w:rsidR="00440F48" w:rsidRPr="00440F48" w:rsidTr="00440F48">
        <w:tc>
          <w:tcPr>
            <w:tcW w:w="704" w:type="dxa"/>
          </w:tcPr>
          <w:p w:rsidR="00440F48" w:rsidRPr="00440F48" w:rsidRDefault="00440F48" w:rsidP="00440F48">
            <w:pPr>
              <w:rPr>
                <w:rFonts w:ascii="Times New Roman" w:hAnsi="Times New Roman" w:cs="Times New Roman"/>
                <w:b/>
                <w:sz w:val="24"/>
                <w:szCs w:val="24"/>
              </w:rPr>
            </w:pPr>
            <w:r w:rsidRPr="00440F48">
              <w:rPr>
                <w:rFonts w:ascii="Times New Roman" w:hAnsi="Times New Roman" w:cs="Times New Roman"/>
                <w:b/>
                <w:sz w:val="24"/>
                <w:szCs w:val="24"/>
              </w:rPr>
              <w:t>2.3</w:t>
            </w:r>
          </w:p>
        </w:tc>
        <w:tc>
          <w:tcPr>
            <w:tcW w:w="8080" w:type="dxa"/>
          </w:tcPr>
          <w:p w:rsidR="00440F48" w:rsidRPr="00440F48" w:rsidRDefault="00291DA9" w:rsidP="00291DA9">
            <w:pPr>
              <w:pStyle w:val="a8"/>
              <w:spacing w:line="276" w:lineRule="auto"/>
              <w:jc w:val="both"/>
              <w:rPr>
                <w:rStyle w:val="a5"/>
                <w:rFonts w:ascii="Times New Roman" w:hAnsi="Times New Roman" w:cs="Times New Roman"/>
                <w:sz w:val="24"/>
                <w:szCs w:val="24"/>
              </w:rPr>
            </w:pPr>
            <w:r w:rsidRPr="006E3B91">
              <w:rPr>
                <w:rFonts w:ascii="Times New Roman" w:hAnsi="Times New Roman" w:cs="Times New Roman"/>
                <w:b/>
                <w:sz w:val="24"/>
                <w:szCs w:val="24"/>
              </w:rPr>
              <w:t xml:space="preserve">Проблемы проектирования и </w:t>
            </w:r>
            <w:proofErr w:type="spellStart"/>
            <w:r w:rsidRPr="006E3B91">
              <w:rPr>
                <w:rFonts w:ascii="Times New Roman" w:hAnsi="Times New Roman" w:cs="Times New Roman"/>
                <w:b/>
                <w:sz w:val="24"/>
                <w:szCs w:val="24"/>
              </w:rPr>
              <w:t>подтверждаемости</w:t>
            </w:r>
            <w:proofErr w:type="spellEnd"/>
            <w:r w:rsidRPr="006E3B91">
              <w:rPr>
                <w:rFonts w:ascii="Times New Roman" w:hAnsi="Times New Roman" w:cs="Times New Roman"/>
                <w:b/>
                <w:sz w:val="24"/>
                <w:szCs w:val="24"/>
              </w:rPr>
              <w:t xml:space="preserve"> проектных показателей. Вскрытие, </w:t>
            </w:r>
            <w:proofErr w:type="spellStart"/>
            <w:r w:rsidRPr="006E3B91">
              <w:rPr>
                <w:rFonts w:ascii="Times New Roman" w:hAnsi="Times New Roman" w:cs="Times New Roman"/>
                <w:b/>
                <w:sz w:val="24"/>
                <w:szCs w:val="24"/>
              </w:rPr>
              <w:t>закисление</w:t>
            </w:r>
            <w:proofErr w:type="spellEnd"/>
            <w:r w:rsidRPr="006E3B91">
              <w:rPr>
                <w:rFonts w:ascii="Times New Roman" w:hAnsi="Times New Roman" w:cs="Times New Roman"/>
                <w:b/>
                <w:sz w:val="24"/>
                <w:szCs w:val="24"/>
              </w:rPr>
              <w:t xml:space="preserve"> и добыча.</w:t>
            </w:r>
            <w:r w:rsidRPr="006E3B91">
              <w:rPr>
                <w:rFonts w:ascii="Times New Roman" w:hAnsi="Times New Roman" w:cs="Times New Roman"/>
                <w:sz w:val="24"/>
                <w:szCs w:val="24"/>
              </w:rPr>
              <w:t xml:space="preserve"> Проектирование разработки залежей. Соотношение рудоносности по данным разведки. Путь к оптимизации проектирования. Геотехнологические параметры, их расчет по данным лабораторных опытов, ОПВ, добычи промышленной стадии. Использование геотехнологических параметров для подготовки ПРГР и проектов разработки. Вскрытие. </w:t>
            </w:r>
            <w:proofErr w:type="spellStart"/>
            <w:r w:rsidRPr="006E3B91">
              <w:rPr>
                <w:rFonts w:ascii="Times New Roman" w:hAnsi="Times New Roman" w:cs="Times New Roman"/>
                <w:sz w:val="24"/>
                <w:szCs w:val="24"/>
              </w:rPr>
              <w:t>Гексагоны</w:t>
            </w:r>
            <w:proofErr w:type="spellEnd"/>
            <w:r w:rsidRPr="006E3B91">
              <w:rPr>
                <w:rFonts w:ascii="Times New Roman" w:hAnsi="Times New Roman" w:cs="Times New Roman"/>
                <w:sz w:val="24"/>
                <w:szCs w:val="24"/>
              </w:rPr>
              <w:t xml:space="preserve"> и ряды, плюсы и минусы каждого. Проблемы нахождения оптимальной схемы. Проблемы посадки фильтров в сложных разрезах. </w:t>
            </w:r>
            <w:proofErr w:type="spellStart"/>
            <w:r w:rsidRPr="006E3B91">
              <w:rPr>
                <w:rFonts w:ascii="Times New Roman" w:hAnsi="Times New Roman" w:cs="Times New Roman"/>
                <w:sz w:val="24"/>
                <w:szCs w:val="24"/>
              </w:rPr>
              <w:t>Закисление</w:t>
            </w:r>
            <w:proofErr w:type="spellEnd"/>
            <w:r w:rsidRPr="006E3B91">
              <w:rPr>
                <w:rFonts w:ascii="Times New Roman" w:hAnsi="Times New Roman" w:cs="Times New Roman"/>
                <w:sz w:val="24"/>
                <w:szCs w:val="24"/>
              </w:rPr>
              <w:t xml:space="preserve">. Разновидности. Преимущество и недостатки опережающего </w:t>
            </w:r>
            <w:proofErr w:type="spellStart"/>
            <w:r w:rsidRPr="006E3B91">
              <w:rPr>
                <w:rFonts w:ascii="Times New Roman" w:hAnsi="Times New Roman" w:cs="Times New Roman"/>
                <w:sz w:val="24"/>
                <w:szCs w:val="24"/>
              </w:rPr>
              <w:t>закисления</w:t>
            </w:r>
            <w:proofErr w:type="spellEnd"/>
            <w:r w:rsidRPr="006E3B91">
              <w:rPr>
                <w:rFonts w:ascii="Times New Roman" w:hAnsi="Times New Roman" w:cs="Times New Roman"/>
                <w:sz w:val="24"/>
                <w:szCs w:val="24"/>
              </w:rPr>
              <w:t xml:space="preserve">. Оптимизация расхода кислоты. </w:t>
            </w:r>
            <w:proofErr w:type="spellStart"/>
            <w:r w:rsidRPr="006E3B91">
              <w:rPr>
                <w:rFonts w:ascii="Times New Roman" w:hAnsi="Times New Roman" w:cs="Times New Roman"/>
                <w:sz w:val="24"/>
                <w:szCs w:val="24"/>
              </w:rPr>
              <w:t>Закисление</w:t>
            </w:r>
            <w:proofErr w:type="spellEnd"/>
            <w:r w:rsidRPr="006E3B91">
              <w:rPr>
                <w:rFonts w:ascii="Times New Roman" w:hAnsi="Times New Roman" w:cs="Times New Roman"/>
                <w:sz w:val="24"/>
                <w:szCs w:val="24"/>
              </w:rPr>
              <w:t xml:space="preserve"> и добыча. Понятие эффективной мощности. Способы оценки эффективной мощности на разных рудниках. Теоретические методы оценки. Дифференциация скоростей фильтрации по длине фильтра. Следствия неравномерной работы фильтра по длине. Области фактической фильтрации (выщелачивания). Застойные зоны в разрезе и в плане. Роль гидродинамического моделирования в выявлении застойных зон. Скважинные системы. Взаимодействие скважин. Роль гидродинамического моделирования в выявлении недостаточности откачки / закачки.</w:t>
            </w:r>
          </w:p>
        </w:tc>
        <w:tc>
          <w:tcPr>
            <w:tcW w:w="1276" w:type="dxa"/>
          </w:tcPr>
          <w:p w:rsidR="00440F48" w:rsidRPr="00440F48" w:rsidRDefault="00291DA9" w:rsidP="00440F48">
            <w:pPr>
              <w:pStyle w:val="msonormalmrcssattr"/>
              <w:spacing w:after="0" w:afterAutospacing="0"/>
              <w:jc w:val="center"/>
              <w:rPr>
                <w:bCs/>
              </w:rPr>
            </w:pPr>
            <w:r>
              <w:rPr>
                <w:bCs/>
              </w:rPr>
              <w:t>6</w:t>
            </w:r>
          </w:p>
        </w:tc>
      </w:tr>
      <w:tr w:rsidR="00440F48" w:rsidRPr="00440F48" w:rsidTr="00440F48">
        <w:tc>
          <w:tcPr>
            <w:tcW w:w="704" w:type="dxa"/>
          </w:tcPr>
          <w:p w:rsidR="00440F48" w:rsidRPr="00440F48" w:rsidRDefault="00440F48" w:rsidP="00440F48">
            <w:pPr>
              <w:rPr>
                <w:rFonts w:ascii="Times New Roman" w:hAnsi="Times New Roman" w:cs="Times New Roman"/>
                <w:b/>
                <w:sz w:val="24"/>
                <w:szCs w:val="24"/>
              </w:rPr>
            </w:pPr>
            <w:r w:rsidRPr="00440F48">
              <w:rPr>
                <w:rFonts w:ascii="Times New Roman" w:hAnsi="Times New Roman" w:cs="Times New Roman"/>
                <w:b/>
                <w:sz w:val="24"/>
                <w:szCs w:val="24"/>
              </w:rPr>
              <w:t>2.4</w:t>
            </w:r>
          </w:p>
        </w:tc>
        <w:tc>
          <w:tcPr>
            <w:tcW w:w="8080" w:type="dxa"/>
          </w:tcPr>
          <w:p w:rsidR="00440F48" w:rsidRPr="00440F48" w:rsidRDefault="00291DA9" w:rsidP="00291DA9">
            <w:pPr>
              <w:pStyle w:val="a8"/>
              <w:spacing w:line="276" w:lineRule="auto"/>
              <w:jc w:val="both"/>
              <w:rPr>
                <w:rStyle w:val="a5"/>
                <w:rFonts w:ascii="Times New Roman" w:hAnsi="Times New Roman" w:cs="Times New Roman"/>
                <w:b w:val="0"/>
                <w:sz w:val="24"/>
                <w:szCs w:val="24"/>
              </w:rPr>
            </w:pPr>
            <w:r w:rsidRPr="006E3B91">
              <w:rPr>
                <w:rFonts w:ascii="Times New Roman" w:hAnsi="Times New Roman" w:cs="Times New Roman"/>
                <w:b/>
                <w:sz w:val="24"/>
                <w:szCs w:val="24"/>
              </w:rPr>
              <w:t xml:space="preserve">Проблемы </w:t>
            </w:r>
            <w:proofErr w:type="spellStart"/>
            <w:r w:rsidRPr="006E3B91">
              <w:rPr>
                <w:rFonts w:ascii="Times New Roman" w:hAnsi="Times New Roman" w:cs="Times New Roman"/>
                <w:b/>
                <w:sz w:val="24"/>
                <w:szCs w:val="24"/>
              </w:rPr>
              <w:t>неподтверждения</w:t>
            </w:r>
            <w:proofErr w:type="spellEnd"/>
            <w:r w:rsidRPr="006E3B91">
              <w:rPr>
                <w:rFonts w:ascii="Times New Roman" w:hAnsi="Times New Roman" w:cs="Times New Roman"/>
                <w:b/>
                <w:sz w:val="24"/>
                <w:szCs w:val="24"/>
              </w:rPr>
              <w:t xml:space="preserve"> балансовых запасов вскрытием и вскрытых запасов добычей. Отставание блоков от плановых показателей.</w:t>
            </w:r>
            <w:r w:rsidRPr="006E3B91">
              <w:rPr>
                <w:rFonts w:ascii="Times New Roman" w:hAnsi="Times New Roman" w:cs="Times New Roman"/>
                <w:sz w:val="24"/>
                <w:szCs w:val="24"/>
              </w:rPr>
              <w:t xml:space="preserve"> Результаты добычи на отдельных блоках. Проблемы </w:t>
            </w:r>
            <w:r w:rsidRPr="006E3B91">
              <w:rPr>
                <w:rFonts w:ascii="Times New Roman" w:hAnsi="Times New Roman" w:cs="Times New Roman"/>
                <w:sz w:val="24"/>
                <w:szCs w:val="24"/>
              </w:rPr>
              <w:lastRenderedPageBreak/>
              <w:t xml:space="preserve">отставания извлечения от плановых показателей. Остаточные рудные интервалы. Остаточные РИ при контрактном извлечении на блоке и при </w:t>
            </w:r>
            <w:proofErr w:type="spellStart"/>
            <w:r w:rsidRPr="006E3B91">
              <w:rPr>
                <w:rFonts w:ascii="Times New Roman" w:hAnsi="Times New Roman" w:cs="Times New Roman"/>
                <w:sz w:val="24"/>
                <w:szCs w:val="24"/>
              </w:rPr>
              <w:t>недоизвлечении</w:t>
            </w:r>
            <w:proofErr w:type="spellEnd"/>
            <w:r w:rsidRPr="006E3B91">
              <w:rPr>
                <w:rFonts w:ascii="Times New Roman" w:hAnsi="Times New Roman" w:cs="Times New Roman"/>
                <w:sz w:val="24"/>
                <w:szCs w:val="24"/>
              </w:rPr>
              <w:t>. Диагностика причин отставания конкретного блока от плановых показателей по содержанию урана в ПР, по суммарному % извлечения и по гидрохимическим показателям. Неоптимальные геохимические характеристики среды при ПСВ. Трудности в понимании роли окисного железа при ПСВ. Трудности с прямыми оценками недостатка окисного железа.</w:t>
            </w:r>
          </w:p>
        </w:tc>
        <w:tc>
          <w:tcPr>
            <w:tcW w:w="1276" w:type="dxa"/>
          </w:tcPr>
          <w:p w:rsidR="00440F48" w:rsidRPr="00440F48" w:rsidRDefault="00291DA9" w:rsidP="00440F48">
            <w:pPr>
              <w:pStyle w:val="msonormalmrcssattr"/>
              <w:spacing w:after="0" w:afterAutospacing="0"/>
              <w:jc w:val="center"/>
              <w:rPr>
                <w:bCs/>
              </w:rPr>
            </w:pPr>
            <w:r>
              <w:rPr>
                <w:bCs/>
              </w:rPr>
              <w:lastRenderedPageBreak/>
              <w:t>4</w:t>
            </w:r>
          </w:p>
        </w:tc>
      </w:tr>
      <w:tr w:rsidR="00440F48" w:rsidRPr="00440F48" w:rsidTr="00440F48">
        <w:tc>
          <w:tcPr>
            <w:tcW w:w="704" w:type="dxa"/>
          </w:tcPr>
          <w:p w:rsidR="00440F48" w:rsidRPr="00440F48" w:rsidRDefault="00440F48" w:rsidP="00440F48">
            <w:pPr>
              <w:rPr>
                <w:rFonts w:ascii="Times New Roman" w:hAnsi="Times New Roman" w:cs="Times New Roman"/>
                <w:b/>
                <w:sz w:val="24"/>
                <w:szCs w:val="24"/>
              </w:rPr>
            </w:pPr>
            <w:r w:rsidRPr="00440F48">
              <w:rPr>
                <w:rFonts w:ascii="Times New Roman" w:hAnsi="Times New Roman" w:cs="Times New Roman"/>
                <w:b/>
                <w:sz w:val="24"/>
                <w:szCs w:val="24"/>
              </w:rPr>
              <w:lastRenderedPageBreak/>
              <w:t>2.5</w:t>
            </w:r>
          </w:p>
        </w:tc>
        <w:tc>
          <w:tcPr>
            <w:tcW w:w="8080" w:type="dxa"/>
          </w:tcPr>
          <w:p w:rsidR="00440F48" w:rsidRPr="00440F48" w:rsidRDefault="00291DA9" w:rsidP="00291DA9">
            <w:pPr>
              <w:pStyle w:val="a8"/>
              <w:spacing w:line="276" w:lineRule="auto"/>
              <w:jc w:val="both"/>
              <w:rPr>
                <w:rFonts w:ascii="Times New Roman" w:hAnsi="Times New Roman" w:cs="Times New Roman"/>
                <w:bCs/>
                <w:sz w:val="24"/>
                <w:szCs w:val="24"/>
              </w:rPr>
            </w:pPr>
            <w:r w:rsidRPr="006E3B91">
              <w:rPr>
                <w:rFonts w:ascii="Times New Roman" w:hAnsi="Times New Roman" w:cs="Times New Roman"/>
                <w:b/>
                <w:sz w:val="24"/>
                <w:szCs w:val="24"/>
              </w:rPr>
              <w:t>Кольматации</w:t>
            </w:r>
            <w:r w:rsidRPr="006E3B91">
              <w:rPr>
                <w:rFonts w:ascii="Times New Roman" w:hAnsi="Times New Roman" w:cs="Times New Roman"/>
                <w:sz w:val="24"/>
                <w:szCs w:val="24"/>
              </w:rPr>
              <w:t xml:space="preserve"> Виды </w:t>
            </w:r>
            <w:proofErr w:type="spellStart"/>
            <w:r w:rsidRPr="006E3B91">
              <w:rPr>
                <w:rFonts w:ascii="Times New Roman" w:hAnsi="Times New Roman" w:cs="Times New Roman"/>
                <w:sz w:val="24"/>
                <w:szCs w:val="24"/>
              </w:rPr>
              <w:t>кольматаций</w:t>
            </w:r>
            <w:proofErr w:type="spellEnd"/>
            <w:r w:rsidRPr="006E3B91">
              <w:rPr>
                <w:rFonts w:ascii="Times New Roman" w:hAnsi="Times New Roman" w:cs="Times New Roman"/>
                <w:sz w:val="24"/>
                <w:szCs w:val="24"/>
              </w:rPr>
              <w:t xml:space="preserve">. Эволюция различных видов </w:t>
            </w:r>
            <w:proofErr w:type="spellStart"/>
            <w:r w:rsidRPr="006E3B91">
              <w:rPr>
                <w:rFonts w:ascii="Times New Roman" w:hAnsi="Times New Roman" w:cs="Times New Roman"/>
                <w:sz w:val="24"/>
                <w:szCs w:val="24"/>
              </w:rPr>
              <w:t>кольматаций</w:t>
            </w:r>
            <w:proofErr w:type="spellEnd"/>
            <w:r w:rsidRPr="006E3B91">
              <w:rPr>
                <w:rFonts w:ascii="Times New Roman" w:hAnsi="Times New Roman" w:cs="Times New Roman"/>
                <w:sz w:val="24"/>
                <w:szCs w:val="24"/>
              </w:rPr>
              <w:t xml:space="preserve"> по мере отработки запасов. Возможности борьбы с </w:t>
            </w:r>
            <w:proofErr w:type="spellStart"/>
            <w:r w:rsidRPr="006E3B91">
              <w:rPr>
                <w:rFonts w:ascii="Times New Roman" w:hAnsi="Times New Roman" w:cs="Times New Roman"/>
                <w:sz w:val="24"/>
                <w:szCs w:val="24"/>
              </w:rPr>
              <w:t>кольматациями</w:t>
            </w:r>
            <w:proofErr w:type="spellEnd"/>
            <w:r w:rsidRPr="006E3B91">
              <w:rPr>
                <w:rFonts w:ascii="Times New Roman" w:hAnsi="Times New Roman" w:cs="Times New Roman"/>
                <w:sz w:val="24"/>
                <w:szCs w:val="24"/>
              </w:rPr>
              <w:t>. Результаты РВР. Оптимальные дебиты.</w:t>
            </w:r>
          </w:p>
        </w:tc>
        <w:tc>
          <w:tcPr>
            <w:tcW w:w="1276" w:type="dxa"/>
          </w:tcPr>
          <w:p w:rsidR="00440F48" w:rsidRPr="00440F48" w:rsidRDefault="00291DA9" w:rsidP="00440F48">
            <w:pPr>
              <w:pStyle w:val="msonormalmrcssattr"/>
              <w:spacing w:after="0" w:afterAutospacing="0"/>
              <w:jc w:val="center"/>
              <w:rPr>
                <w:bCs/>
              </w:rPr>
            </w:pPr>
            <w:r>
              <w:rPr>
                <w:bCs/>
              </w:rPr>
              <w:t>4</w:t>
            </w:r>
          </w:p>
        </w:tc>
      </w:tr>
      <w:tr w:rsidR="00440F48" w:rsidRPr="00440F48" w:rsidTr="00440F48">
        <w:tc>
          <w:tcPr>
            <w:tcW w:w="704" w:type="dxa"/>
          </w:tcPr>
          <w:p w:rsidR="00440F48" w:rsidRPr="00440F48" w:rsidRDefault="00440F48" w:rsidP="00440F48">
            <w:pPr>
              <w:rPr>
                <w:rFonts w:ascii="Times New Roman" w:hAnsi="Times New Roman" w:cs="Times New Roman"/>
                <w:b/>
                <w:sz w:val="24"/>
                <w:szCs w:val="24"/>
              </w:rPr>
            </w:pPr>
            <w:r w:rsidRPr="00440F48">
              <w:rPr>
                <w:rFonts w:ascii="Times New Roman" w:hAnsi="Times New Roman" w:cs="Times New Roman"/>
                <w:b/>
                <w:sz w:val="24"/>
                <w:szCs w:val="24"/>
              </w:rPr>
              <w:t>2.6</w:t>
            </w:r>
          </w:p>
        </w:tc>
        <w:tc>
          <w:tcPr>
            <w:tcW w:w="8080" w:type="dxa"/>
          </w:tcPr>
          <w:p w:rsidR="00440F48" w:rsidRPr="00440F48" w:rsidRDefault="00291DA9" w:rsidP="00440F48">
            <w:pPr>
              <w:pStyle w:val="a3"/>
              <w:tabs>
                <w:tab w:val="left" w:pos="0"/>
                <w:tab w:val="left" w:pos="286"/>
              </w:tabs>
              <w:spacing w:line="276" w:lineRule="auto"/>
              <w:ind w:left="7"/>
              <w:jc w:val="both"/>
              <w:rPr>
                <w:rStyle w:val="a5"/>
                <w:rFonts w:ascii="Times New Roman" w:hAnsi="Times New Roman" w:cs="Times New Roman"/>
                <w:sz w:val="24"/>
                <w:szCs w:val="24"/>
              </w:rPr>
            </w:pPr>
            <w:r w:rsidRPr="006E3B91">
              <w:rPr>
                <w:rFonts w:ascii="Times New Roman" w:hAnsi="Times New Roman" w:cs="Times New Roman"/>
                <w:b/>
                <w:sz w:val="24"/>
                <w:szCs w:val="24"/>
              </w:rPr>
              <w:t>Интенсификация процесса добычи урана</w:t>
            </w:r>
            <w:r w:rsidRPr="006E3B91">
              <w:rPr>
                <w:rFonts w:ascii="Times New Roman" w:hAnsi="Times New Roman" w:cs="Times New Roman"/>
                <w:sz w:val="24"/>
                <w:szCs w:val="24"/>
              </w:rPr>
              <w:t>. Возможности и необходимость интенсификации. Методы интенсификации: рост кислотности ВР, рост интенсивности проработки ГРМ, ускорение процессов растворения урана (активаторы), дополнительные скважины на невскрытые или частично вскрытые РИ.  Правило «80+8+12» на большинстве рудников. Примеры интенсификации добычи.  О целесообразности применения мер интенсификации.</w:t>
            </w:r>
          </w:p>
        </w:tc>
        <w:tc>
          <w:tcPr>
            <w:tcW w:w="1276" w:type="dxa"/>
          </w:tcPr>
          <w:p w:rsidR="00440F48" w:rsidRPr="00440F48" w:rsidRDefault="00291DA9" w:rsidP="00440F48">
            <w:pPr>
              <w:pStyle w:val="msonormalmrcssattr"/>
              <w:spacing w:after="0" w:afterAutospacing="0"/>
              <w:jc w:val="center"/>
              <w:rPr>
                <w:bCs/>
              </w:rPr>
            </w:pPr>
            <w:r>
              <w:rPr>
                <w:bCs/>
              </w:rPr>
              <w:t>4</w:t>
            </w:r>
            <w:bookmarkStart w:id="0" w:name="_GoBack"/>
            <w:bookmarkEnd w:id="0"/>
          </w:p>
        </w:tc>
      </w:tr>
      <w:tr w:rsidR="00440F48" w:rsidRPr="00440F48" w:rsidTr="00440F48">
        <w:tc>
          <w:tcPr>
            <w:tcW w:w="8784" w:type="dxa"/>
            <w:gridSpan w:val="2"/>
          </w:tcPr>
          <w:p w:rsidR="00440F48" w:rsidRPr="00440F48" w:rsidRDefault="00440F48" w:rsidP="00440F48">
            <w:pPr>
              <w:pStyle w:val="a3"/>
              <w:tabs>
                <w:tab w:val="left" w:pos="0"/>
                <w:tab w:val="left" w:pos="286"/>
              </w:tabs>
              <w:spacing w:line="276" w:lineRule="auto"/>
              <w:ind w:left="7"/>
              <w:jc w:val="both"/>
              <w:rPr>
                <w:rFonts w:ascii="Times New Roman" w:hAnsi="Times New Roman" w:cs="Times New Roman"/>
                <w:bCs/>
                <w:sz w:val="24"/>
                <w:szCs w:val="24"/>
              </w:rPr>
            </w:pPr>
            <w:r>
              <w:rPr>
                <w:rFonts w:ascii="Times New Roman" w:hAnsi="Times New Roman" w:cs="Times New Roman"/>
                <w:bCs/>
                <w:sz w:val="24"/>
                <w:szCs w:val="24"/>
              </w:rPr>
              <w:t xml:space="preserve">Всего </w:t>
            </w:r>
          </w:p>
        </w:tc>
        <w:tc>
          <w:tcPr>
            <w:tcW w:w="1276" w:type="dxa"/>
          </w:tcPr>
          <w:p w:rsidR="00440F48" w:rsidRPr="00440F48" w:rsidRDefault="00440F48" w:rsidP="00440F48">
            <w:pPr>
              <w:jc w:val="center"/>
              <w:rPr>
                <w:rFonts w:ascii="Times New Roman" w:hAnsi="Times New Roman" w:cs="Times New Roman"/>
                <w:sz w:val="24"/>
                <w:szCs w:val="24"/>
                <w:lang w:val="kk-KZ"/>
              </w:rPr>
            </w:pPr>
            <w:r>
              <w:rPr>
                <w:rFonts w:ascii="Times New Roman" w:hAnsi="Times New Roman" w:cs="Times New Roman"/>
                <w:sz w:val="24"/>
                <w:szCs w:val="24"/>
                <w:lang w:val="kk-KZ"/>
              </w:rPr>
              <w:t>48</w:t>
            </w:r>
          </w:p>
        </w:tc>
      </w:tr>
    </w:tbl>
    <w:p w:rsidR="00202DC3" w:rsidRPr="00202DC3" w:rsidRDefault="00202DC3" w:rsidP="00202DC3">
      <w:pPr>
        <w:pStyle w:val="msonormalmrcssattr"/>
        <w:shd w:val="clear" w:color="auto" w:fill="FFFFFF"/>
        <w:spacing w:after="0" w:afterAutospacing="0"/>
        <w:rPr>
          <w:rStyle w:val="a5"/>
          <w:sz w:val="28"/>
          <w:szCs w:val="28"/>
        </w:rPr>
      </w:pPr>
    </w:p>
    <w:p w:rsidR="00A546B4" w:rsidRPr="00A546B4" w:rsidRDefault="00A546B4" w:rsidP="00A546B4">
      <w:pPr>
        <w:tabs>
          <w:tab w:val="left" w:pos="426"/>
        </w:tabs>
        <w:spacing w:after="0" w:line="240" w:lineRule="auto"/>
        <w:rPr>
          <w:rFonts w:ascii="Times New Roman" w:eastAsia="Times New Roman" w:hAnsi="Times New Roman" w:cs="Times New Roman"/>
          <w:bCs/>
          <w:sz w:val="24"/>
          <w:szCs w:val="24"/>
          <w:lang w:eastAsia="ru-RU"/>
        </w:rPr>
      </w:pPr>
    </w:p>
    <w:p w:rsidR="00A546B4" w:rsidRPr="00A546B4" w:rsidRDefault="00A546B4" w:rsidP="00A546B4">
      <w:pPr>
        <w:tabs>
          <w:tab w:val="left" w:pos="426"/>
        </w:tabs>
        <w:spacing w:after="0" w:line="240" w:lineRule="auto"/>
        <w:rPr>
          <w:rFonts w:ascii="Times New Roman" w:eastAsia="Times New Roman" w:hAnsi="Times New Roman" w:cs="Times New Roman"/>
          <w:bCs/>
          <w:sz w:val="24"/>
          <w:szCs w:val="24"/>
          <w:lang w:eastAsia="ru-RU"/>
        </w:rPr>
      </w:pPr>
      <w:r w:rsidRPr="00A546B4">
        <w:rPr>
          <w:rFonts w:ascii="Times New Roman" w:eastAsia="Times New Roman" w:hAnsi="Times New Roman" w:cs="Times New Roman"/>
          <w:bCs/>
          <w:sz w:val="24"/>
          <w:szCs w:val="24"/>
          <w:lang w:eastAsia="ru-RU"/>
        </w:rPr>
        <w:t xml:space="preserve">Ст. методист ОРПК </w:t>
      </w:r>
      <w:r w:rsidRPr="00A546B4">
        <w:rPr>
          <w:rFonts w:ascii="Times New Roman" w:eastAsia="Times New Roman" w:hAnsi="Times New Roman" w:cs="Times New Roman"/>
          <w:sz w:val="24"/>
          <w:szCs w:val="24"/>
          <w:lang w:eastAsia="ru-RU"/>
        </w:rPr>
        <w:t>филиала «КЯУ» ТОО «</w:t>
      </w:r>
      <w:proofErr w:type="gramStart"/>
      <w:r w:rsidRPr="00A546B4">
        <w:rPr>
          <w:rFonts w:ascii="Times New Roman" w:eastAsia="Times New Roman" w:hAnsi="Times New Roman" w:cs="Times New Roman"/>
          <w:sz w:val="24"/>
          <w:szCs w:val="24"/>
          <w:lang w:eastAsia="ru-RU"/>
        </w:rPr>
        <w:t>ИВТ»</w:t>
      </w:r>
      <w:r w:rsidRPr="00A546B4">
        <w:rPr>
          <w:rFonts w:ascii="Times New Roman" w:eastAsia="Times New Roman" w:hAnsi="Times New Roman" w:cs="Times New Roman"/>
          <w:bCs/>
          <w:sz w:val="24"/>
          <w:szCs w:val="24"/>
          <w:lang w:eastAsia="ru-RU"/>
        </w:rPr>
        <w:t xml:space="preserve">   </w:t>
      </w:r>
      <w:proofErr w:type="gramEnd"/>
      <w:r w:rsidRPr="00A546B4">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A546B4">
        <w:rPr>
          <w:rFonts w:ascii="Times New Roman" w:eastAsia="Times New Roman" w:hAnsi="Times New Roman" w:cs="Times New Roman"/>
          <w:bCs/>
          <w:sz w:val="24"/>
          <w:szCs w:val="24"/>
          <w:lang w:eastAsia="ru-RU"/>
        </w:rPr>
        <w:t xml:space="preserve">    А.Ю. Граф </w:t>
      </w:r>
    </w:p>
    <w:p w:rsidR="002458EE" w:rsidRDefault="00291DA9"/>
    <w:sectPr w:rsidR="002458EE" w:rsidSect="00227014">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51100D"/>
    <w:multiLevelType w:val="hybridMultilevel"/>
    <w:tmpl w:val="D042F1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796623B1"/>
    <w:multiLevelType w:val="hybridMultilevel"/>
    <w:tmpl w:val="D74AACF4"/>
    <w:lvl w:ilvl="0" w:tplc="84203D18">
      <w:start w:val="1"/>
      <w:numFmt w:val="decimal"/>
      <w:lvlText w:val="%1."/>
      <w:lvlJc w:val="left"/>
      <w:pPr>
        <w:ind w:left="643" w:hanging="360"/>
      </w:pPr>
      <w:rPr>
        <w:b/>
        <w:bCs/>
      </w:r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206"/>
    <w:rsid w:val="00150300"/>
    <w:rsid w:val="00202DC3"/>
    <w:rsid w:val="00227014"/>
    <w:rsid w:val="00270B4A"/>
    <w:rsid w:val="00291DA9"/>
    <w:rsid w:val="00440F48"/>
    <w:rsid w:val="004564F8"/>
    <w:rsid w:val="004E0751"/>
    <w:rsid w:val="005168F7"/>
    <w:rsid w:val="00A546B4"/>
    <w:rsid w:val="00B77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9F60B-A6C8-44AE-98A4-153032C5C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D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02DC3"/>
    <w:pPr>
      <w:spacing w:line="256" w:lineRule="auto"/>
      <w:ind w:left="720"/>
      <w:contextualSpacing/>
    </w:pPr>
  </w:style>
  <w:style w:type="paragraph" w:customStyle="1" w:styleId="msonormalmrcssattr">
    <w:name w:val="msonormal_mr_css_attr"/>
    <w:basedOn w:val="a"/>
    <w:rsid w:val="00202DC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02DC3"/>
    <w:rPr>
      <w:b/>
      <w:bCs/>
    </w:rPr>
  </w:style>
  <w:style w:type="table" w:styleId="a6">
    <w:name w:val="Table Grid"/>
    <w:basedOn w:val="a1"/>
    <w:uiPriority w:val="59"/>
    <w:rsid w:val="00202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locked/>
    <w:rsid w:val="00202DC3"/>
  </w:style>
  <w:style w:type="paragraph" w:customStyle="1" w:styleId="a7">
    <w:name w:val="Знак"/>
    <w:basedOn w:val="a"/>
    <w:autoRedefine/>
    <w:rsid w:val="005168F7"/>
    <w:pPr>
      <w:spacing w:line="240" w:lineRule="exact"/>
    </w:pPr>
    <w:rPr>
      <w:rFonts w:ascii="Times New Roman" w:eastAsia="SimSun" w:hAnsi="Times New Roman" w:cs="Times New Roman"/>
      <w:b/>
      <w:sz w:val="28"/>
      <w:szCs w:val="24"/>
      <w:lang w:val="en-US"/>
    </w:rPr>
  </w:style>
  <w:style w:type="paragraph" w:styleId="a8">
    <w:name w:val="No Spacing"/>
    <w:uiPriority w:val="1"/>
    <w:qFormat/>
    <w:rsid w:val="00291D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568</Words>
  <Characters>3238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Тюменцева Олеся Александровна</dc:creator>
  <cp:keywords/>
  <dc:description/>
  <cp:lastModifiedBy>Тюменцева Олеся Александровна</cp:lastModifiedBy>
  <cp:revision>4</cp:revision>
  <dcterms:created xsi:type="dcterms:W3CDTF">2022-07-04T09:36:00Z</dcterms:created>
  <dcterms:modified xsi:type="dcterms:W3CDTF">2022-10-20T08:32:00Z</dcterms:modified>
</cp:coreProperties>
</file>